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72" w:rsidRDefault="00D470AD">
      <w:pPr>
        <w:spacing w:line="360" w:lineRule="auto"/>
        <w:ind w:left="185" w:right="-20"/>
        <w:jc w:val="center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创金合信基金管理有限公司关于终止</w:t>
      </w: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北京微动利基金销售有限公司</w:t>
      </w: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办理旗下基金销售业务的公告</w:t>
      </w:r>
    </w:p>
    <w:p w:rsidR="00B65A72" w:rsidRDefault="00B65A72">
      <w:pPr>
        <w:spacing w:after="3" w:line="200" w:lineRule="exact"/>
        <w:rPr>
          <w:rFonts w:ascii="宋体" w:eastAsia="宋体" w:hAnsi="宋体"/>
          <w:sz w:val="20"/>
          <w:szCs w:val="20"/>
        </w:rPr>
      </w:pPr>
    </w:p>
    <w:p w:rsidR="00B65A72" w:rsidRDefault="00D470AD">
      <w:pPr>
        <w:spacing w:line="360" w:lineRule="auto"/>
        <w:ind w:left="142" w:right="-23"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为维护投资者利益，创金合信基金管理有限公司</w:t>
      </w:r>
      <w:r>
        <w:rPr>
          <w:rFonts w:ascii="宋体" w:eastAsia="宋体" w:hAnsi="宋体"/>
          <w:color w:val="000000"/>
          <w:sz w:val="24"/>
          <w:szCs w:val="24"/>
        </w:rPr>
        <w:t>(</w:t>
      </w:r>
      <w:r>
        <w:rPr>
          <w:rFonts w:ascii="宋体" w:eastAsia="宋体" w:hAnsi="宋体"/>
          <w:color w:val="000000"/>
          <w:sz w:val="24"/>
          <w:szCs w:val="24"/>
        </w:rPr>
        <w:t>以下简称</w:t>
      </w:r>
      <w:r>
        <w:rPr>
          <w:rFonts w:ascii="宋体" w:eastAsia="宋体" w:hAnsi="宋体"/>
          <w:color w:val="000000"/>
          <w:sz w:val="24"/>
          <w:szCs w:val="24"/>
        </w:rPr>
        <w:t>“</w:t>
      </w:r>
      <w:r>
        <w:rPr>
          <w:rFonts w:ascii="宋体" w:eastAsia="宋体" w:hAnsi="宋体"/>
          <w:color w:val="000000"/>
          <w:sz w:val="24"/>
          <w:szCs w:val="24"/>
        </w:rPr>
        <w:t>本公司</w:t>
      </w:r>
      <w:r>
        <w:rPr>
          <w:rFonts w:ascii="宋体" w:eastAsia="宋体" w:hAnsi="宋体"/>
          <w:color w:val="000000"/>
          <w:sz w:val="24"/>
          <w:szCs w:val="24"/>
        </w:rPr>
        <w:t>”)</w:t>
      </w:r>
      <w:r>
        <w:rPr>
          <w:rFonts w:ascii="宋体" w:eastAsia="宋体" w:hAnsi="宋体"/>
          <w:color w:val="000000"/>
          <w:sz w:val="24"/>
          <w:szCs w:val="24"/>
        </w:rPr>
        <w:t>与</w:t>
      </w:r>
      <w:r>
        <w:rPr>
          <w:rFonts w:ascii="宋体" w:eastAsia="宋体" w:hAnsi="宋体" w:hint="eastAsia"/>
          <w:color w:val="000000"/>
          <w:sz w:val="24"/>
          <w:szCs w:val="24"/>
        </w:rPr>
        <w:t>北京微动利基金销售有限公司</w:t>
      </w: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/>
          <w:color w:val="000000"/>
          <w:sz w:val="24"/>
          <w:szCs w:val="24"/>
        </w:rPr>
        <w:t>以下简称</w:t>
      </w:r>
      <w:r>
        <w:rPr>
          <w:rFonts w:ascii="宋体" w:eastAsia="宋体" w:hAnsi="宋体"/>
          <w:color w:val="000000"/>
          <w:sz w:val="24"/>
          <w:szCs w:val="24"/>
        </w:rPr>
        <w:t>“</w:t>
      </w:r>
      <w:r>
        <w:rPr>
          <w:rFonts w:ascii="宋体" w:eastAsia="宋体" w:hAnsi="宋体" w:hint="eastAsia"/>
          <w:color w:val="000000"/>
          <w:sz w:val="24"/>
          <w:szCs w:val="24"/>
        </w:rPr>
        <w:t>微动利基金</w:t>
      </w:r>
      <w:r>
        <w:rPr>
          <w:rFonts w:ascii="宋体" w:eastAsia="宋体" w:hAnsi="宋体"/>
          <w:color w:val="000000"/>
          <w:sz w:val="24"/>
          <w:szCs w:val="24"/>
        </w:rPr>
        <w:t>”</w:t>
      </w:r>
      <w:r>
        <w:rPr>
          <w:rFonts w:ascii="宋体" w:eastAsia="宋体" w:hAnsi="宋体" w:hint="eastAsia"/>
          <w:color w:val="000000"/>
          <w:sz w:val="24"/>
          <w:szCs w:val="24"/>
        </w:rPr>
        <w:t>）协商一致，本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公司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现</w:t>
      </w:r>
      <w:r>
        <w:rPr>
          <w:rFonts w:ascii="宋体" w:eastAsia="宋体" w:hAnsi="宋体"/>
          <w:color w:val="000000"/>
          <w:sz w:val="24"/>
          <w:szCs w:val="24"/>
        </w:rPr>
        <w:t>终止与</w:t>
      </w:r>
      <w:r>
        <w:rPr>
          <w:rFonts w:ascii="宋体" w:eastAsia="宋体" w:hAnsi="宋体" w:hint="eastAsia"/>
          <w:color w:val="000000"/>
          <w:sz w:val="24"/>
          <w:szCs w:val="24"/>
        </w:rPr>
        <w:t>微动利基金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在基金销售业务上的合作，包括基金的认购、申购、定期定额投资及转换等业务。</w:t>
      </w:r>
      <w:bookmarkStart w:id="0" w:name="_GoBack"/>
      <w:bookmarkEnd w:id="0"/>
    </w:p>
    <w:p w:rsidR="00B65A72" w:rsidRDefault="00B65A72">
      <w:pPr>
        <w:spacing w:line="360" w:lineRule="auto"/>
        <w:ind w:left="142" w:right="-23"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</w:p>
    <w:p w:rsidR="00B65A72" w:rsidRDefault="00D470AD">
      <w:pPr>
        <w:spacing w:line="360" w:lineRule="auto"/>
        <w:ind w:left="566" w:right="-23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投资者可通过以下途径咨询有关详情：</w:t>
      </w:r>
    </w:p>
    <w:p w:rsidR="00B65A72" w:rsidRDefault="00D470AD">
      <w:pPr>
        <w:spacing w:line="360" w:lineRule="auto"/>
        <w:ind w:left="566" w:right="-23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创金合信基金管理有限公司</w:t>
      </w:r>
    </w:p>
    <w:p w:rsidR="00B65A72" w:rsidRDefault="00D470AD">
      <w:pPr>
        <w:spacing w:line="360" w:lineRule="auto"/>
        <w:ind w:left="578" w:right="-23"/>
        <w:rPr>
          <w:rFonts w:ascii="宋体" w:eastAsia="宋体" w:hAnsi="宋体"/>
          <w:color w:val="000000"/>
          <w:spacing w:val="6"/>
          <w:w w:val="98"/>
          <w:sz w:val="24"/>
          <w:szCs w:val="24"/>
        </w:rPr>
      </w:pPr>
      <w:r>
        <w:rPr>
          <w:rFonts w:ascii="宋体" w:eastAsia="宋体" w:hAnsi="宋体"/>
          <w:color w:val="000000"/>
          <w:spacing w:val="5"/>
          <w:sz w:val="24"/>
          <w:szCs w:val="24"/>
        </w:rPr>
        <w:t>客服电话：</w:t>
      </w:r>
      <w:r>
        <w:rPr>
          <w:rFonts w:ascii="宋体" w:eastAsia="宋体" w:hAnsi="宋体"/>
          <w:color w:val="000000"/>
          <w:spacing w:val="5"/>
          <w:w w:val="98"/>
          <w:sz w:val="24"/>
          <w:szCs w:val="24"/>
        </w:rPr>
        <w:t>400</w:t>
      </w:r>
      <w:r>
        <w:rPr>
          <w:rFonts w:ascii="宋体" w:eastAsia="宋体" w:hAnsi="宋体"/>
          <w:color w:val="000000"/>
          <w:spacing w:val="6"/>
          <w:sz w:val="24"/>
          <w:szCs w:val="24"/>
        </w:rPr>
        <w:t>-</w:t>
      </w:r>
      <w:r>
        <w:rPr>
          <w:rFonts w:ascii="宋体" w:eastAsia="宋体" w:hAnsi="宋体"/>
          <w:color w:val="000000"/>
          <w:spacing w:val="5"/>
          <w:w w:val="98"/>
          <w:sz w:val="24"/>
          <w:szCs w:val="24"/>
        </w:rPr>
        <w:t>868</w:t>
      </w:r>
      <w:r>
        <w:rPr>
          <w:rFonts w:ascii="宋体" w:eastAsia="宋体" w:hAnsi="宋体"/>
          <w:color w:val="000000"/>
          <w:spacing w:val="5"/>
          <w:sz w:val="24"/>
          <w:szCs w:val="24"/>
        </w:rPr>
        <w:t>-</w:t>
      </w:r>
      <w:r>
        <w:rPr>
          <w:rFonts w:ascii="宋体" w:eastAsia="宋体" w:hAnsi="宋体"/>
          <w:color w:val="000000"/>
          <w:spacing w:val="6"/>
          <w:w w:val="98"/>
          <w:sz w:val="24"/>
          <w:szCs w:val="24"/>
        </w:rPr>
        <w:t>0666</w:t>
      </w:r>
    </w:p>
    <w:p w:rsidR="00B65A72" w:rsidRDefault="00D470AD">
      <w:pPr>
        <w:spacing w:line="360" w:lineRule="auto"/>
        <w:ind w:left="566" w:right="-23"/>
        <w:rPr>
          <w:rFonts w:ascii="宋体" w:eastAsia="宋体" w:hAnsi="宋体"/>
          <w:color w:val="000000"/>
          <w:spacing w:val="1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官方网站：</w:t>
      </w:r>
      <w:hyperlink r:id="rId4">
        <w:r>
          <w:rPr>
            <w:rFonts w:ascii="宋体" w:eastAsia="宋体" w:hAnsi="宋体"/>
            <w:color w:val="000000"/>
            <w:sz w:val="24"/>
            <w:szCs w:val="24"/>
          </w:rPr>
          <w:t>www.</w:t>
        </w:r>
        <w:r>
          <w:rPr>
            <w:rFonts w:ascii="宋体" w:eastAsia="宋体" w:hAnsi="宋体"/>
            <w:color w:val="000000"/>
            <w:w w:val="118"/>
            <w:sz w:val="24"/>
            <w:szCs w:val="24"/>
          </w:rPr>
          <w:t>c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j</w:t>
        </w:r>
        <w:r>
          <w:rPr>
            <w:rFonts w:ascii="宋体" w:eastAsia="宋体" w:hAnsi="宋体"/>
            <w:color w:val="000000"/>
            <w:w w:val="95"/>
            <w:sz w:val="24"/>
            <w:szCs w:val="24"/>
          </w:rPr>
          <w:t>h</w:t>
        </w:r>
        <w:r>
          <w:rPr>
            <w:rFonts w:ascii="宋体" w:eastAsia="宋体" w:hAnsi="宋体"/>
            <w:color w:val="000000"/>
            <w:w w:val="115"/>
            <w:sz w:val="24"/>
            <w:szCs w:val="24"/>
          </w:rPr>
          <w:t>x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f</w:t>
        </w:r>
        <w:r>
          <w:rPr>
            <w:rFonts w:ascii="宋体" w:eastAsia="宋体" w:hAnsi="宋体"/>
            <w:color w:val="000000"/>
            <w:w w:val="95"/>
            <w:sz w:val="24"/>
            <w:szCs w:val="24"/>
          </w:rPr>
          <w:t>und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.</w:t>
        </w:r>
        <w:r>
          <w:rPr>
            <w:rFonts w:ascii="宋体" w:eastAsia="宋体" w:hAnsi="宋体"/>
            <w:color w:val="000000"/>
            <w:w w:val="118"/>
            <w:sz w:val="24"/>
            <w:szCs w:val="24"/>
          </w:rPr>
          <w:t>c</w:t>
        </w:r>
        <w:r>
          <w:rPr>
            <w:rFonts w:ascii="宋体" w:eastAsia="宋体" w:hAnsi="宋体"/>
            <w:color w:val="000000"/>
            <w:w w:val="95"/>
            <w:sz w:val="24"/>
            <w:szCs w:val="24"/>
          </w:rPr>
          <w:t>o</w:t>
        </w:r>
        <w:r>
          <w:rPr>
            <w:rFonts w:ascii="宋体" w:eastAsia="宋体" w:hAnsi="宋体"/>
            <w:color w:val="000000"/>
            <w:spacing w:val="1"/>
            <w:sz w:val="24"/>
            <w:szCs w:val="24"/>
          </w:rPr>
          <w:t>m</w:t>
        </w:r>
      </w:hyperlink>
    </w:p>
    <w:p w:rsidR="00B65A72" w:rsidRDefault="00B65A72">
      <w:pPr>
        <w:spacing w:line="360" w:lineRule="auto"/>
        <w:ind w:left="566" w:right="-23"/>
        <w:rPr>
          <w:rFonts w:ascii="宋体" w:eastAsia="宋体" w:hAnsi="宋体"/>
          <w:sz w:val="24"/>
          <w:szCs w:val="24"/>
        </w:rPr>
      </w:pPr>
    </w:p>
    <w:p w:rsidR="00B65A72" w:rsidRDefault="00D470AD">
      <w:pPr>
        <w:spacing w:line="360" w:lineRule="auto"/>
        <w:ind w:right="-20"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风险提示</w:t>
      </w:r>
      <w:r>
        <w:rPr>
          <w:rFonts w:ascii="宋体" w:eastAsia="宋体" w:hAnsi="宋体"/>
          <w:color w:val="000000"/>
          <w:spacing w:val="-47"/>
          <w:sz w:val="24"/>
          <w:szCs w:val="24"/>
        </w:rPr>
        <w:t>：</w:t>
      </w:r>
      <w:r>
        <w:rPr>
          <w:rFonts w:ascii="宋体" w:eastAsia="宋体" w:hAnsi="宋体"/>
          <w:color w:val="000000"/>
          <w:sz w:val="24"/>
          <w:szCs w:val="24"/>
        </w:rPr>
        <w:t>基金管理人承诺以诚实信用</w:t>
      </w:r>
      <w:r>
        <w:rPr>
          <w:rFonts w:ascii="宋体" w:eastAsia="宋体" w:hAnsi="宋体"/>
          <w:color w:val="000000"/>
          <w:spacing w:val="-46"/>
          <w:sz w:val="24"/>
          <w:szCs w:val="24"/>
        </w:rPr>
        <w:t>、</w:t>
      </w:r>
      <w:r>
        <w:rPr>
          <w:rFonts w:ascii="宋体" w:eastAsia="宋体" w:hAnsi="宋体"/>
          <w:color w:val="000000"/>
          <w:sz w:val="24"/>
          <w:szCs w:val="24"/>
        </w:rPr>
        <w:t>勤勉尽责的原则管理和运用基金财产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，</w:t>
      </w:r>
      <w:r>
        <w:rPr>
          <w:rFonts w:ascii="宋体" w:eastAsia="宋体" w:hAnsi="宋体"/>
          <w:color w:val="000000"/>
          <w:sz w:val="24"/>
          <w:szCs w:val="24"/>
        </w:rPr>
        <w:t>但不保证基金一定盈利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，</w:t>
      </w:r>
      <w:r>
        <w:rPr>
          <w:rFonts w:ascii="宋体" w:eastAsia="宋体" w:hAnsi="宋体"/>
          <w:color w:val="000000"/>
          <w:sz w:val="24"/>
          <w:szCs w:val="24"/>
        </w:rPr>
        <w:t>也不保证最低收益</w:t>
      </w:r>
      <w:r>
        <w:rPr>
          <w:rFonts w:ascii="宋体" w:eastAsia="宋体" w:hAnsi="宋体"/>
          <w:color w:val="000000"/>
          <w:spacing w:val="-31"/>
          <w:sz w:val="24"/>
          <w:szCs w:val="24"/>
        </w:rPr>
        <w:t>。</w:t>
      </w:r>
      <w:r>
        <w:rPr>
          <w:rFonts w:ascii="宋体" w:eastAsia="宋体" w:hAnsi="宋体"/>
          <w:color w:val="000000"/>
          <w:sz w:val="24"/>
          <w:szCs w:val="24"/>
        </w:rPr>
        <w:t>本公司提醒投资者在投资前应认真阅读上述基金的基金合同、招募说明书等文件。敬请投资者注意投资风险。</w:t>
      </w:r>
    </w:p>
    <w:p w:rsidR="00B65A72" w:rsidRDefault="00D470AD">
      <w:pPr>
        <w:spacing w:line="360" w:lineRule="auto"/>
        <w:ind w:left="578" w:right="-20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特此公告。</w:t>
      </w:r>
    </w:p>
    <w:p w:rsidR="00B65A72" w:rsidRDefault="00B65A72">
      <w:pPr>
        <w:spacing w:line="360" w:lineRule="auto"/>
        <w:ind w:left="578" w:right="-2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B65A72" w:rsidRDefault="00B65A72">
      <w:pPr>
        <w:spacing w:line="360" w:lineRule="auto"/>
        <w:ind w:left="578" w:right="-2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B65A72" w:rsidRDefault="00D470AD">
      <w:pPr>
        <w:spacing w:line="360" w:lineRule="auto"/>
        <w:ind w:right="-23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创金合信基金管理有限公司</w:t>
      </w:r>
    </w:p>
    <w:p w:rsidR="00B65A72" w:rsidRDefault="00D470AD" w:rsidP="00B65A72">
      <w:pPr>
        <w:spacing w:line="360" w:lineRule="auto"/>
        <w:ind w:right="-23" w:firstLineChars="200" w:firstLine="469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w w:val="98"/>
          <w:sz w:val="24"/>
          <w:szCs w:val="24"/>
        </w:rPr>
        <w:t>2025</w:t>
      </w:r>
      <w:r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 w:hint="eastAsia"/>
          <w:color w:val="000000"/>
          <w:sz w:val="24"/>
          <w:szCs w:val="24"/>
        </w:rPr>
        <w:t>12</w:t>
      </w:r>
      <w:r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31</w:t>
      </w:r>
      <w:r>
        <w:rPr>
          <w:rFonts w:ascii="宋体" w:eastAsia="宋体" w:hAnsi="宋体"/>
          <w:color w:val="000000"/>
          <w:sz w:val="24"/>
          <w:szCs w:val="24"/>
        </w:rPr>
        <w:t>日</w:t>
      </w:r>
    </w:p>
    <w:sectPr w:rsidR="00B65A72" w:rsidSect="00B6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E3DD5"/>
    <w:rsid w:val="00107E89"/>
    <w:rsid w:val="001B6435"/>
    <w:rsid w:val="00295685"/>
    <w:rsid w:val="00611C3B"/>
    <w:rsid w:val="007B1535"/>
    <w:rsid w:val="008135BE"/>
    <w:rsid w:val="008140FD"/>
    <w:rsid w:val="008417B0"/>
    <w:rsid w:val="008A33D8"/>
    <w:rsid w:val="00953794"/>
    <w:rsid w:val="00A46E40"/>
    <w:rsid w:val="00B56FF2"/>
    <w:rsid w:val="00B65A72"/>
    <w:rsid w:val="00BD67FC"/>
    <w:rsid w:val="00D00767"/>
    <w:rsid w:val="00D44A81"/>
    <w:rsid w:val="00D470AD"/>
    <w:rsid w:val="00EE3DD5"/>
    <w:rsid w:val="00F151C1"/>
    <w:rsid w:val="00F318AD"/>
    <w:rsid w:val="00F8543E"/>
    <w:rsid w:val="01F842D7"/>
    <w:rsid w:val="0E9D66F9"/>
    <w:rsid w:val="561A68E5"/>
    <w:rsid w:val="669E0734"/>
    <w:rsid w:val="719A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5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6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65A7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65A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hx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4</DocSecurity>
  <Lines>2</Lines>
  <Paragraphs>1</Paragraphs>
  <ScaleCrop>false</ScaleCrop>
  <Company>Organization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林楠</dc:creator>
  <cp:lastModifiedBy>ZHONGM</cp:lastModifiedBy>
  <cp:revision>2</cp:revision>
  <dcterms:created xsi:type="dcterms:W3CDTF">2025-12-30T16:01:00Z</dcterms:created>
  <dcterms:modified xsi:type="dcterms:W3CDTF">2025-12-30T16:01:00Z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B35877E0FD0D493188006851274719AB</vt:lpwstr>
  </property>
</Properties>
</file>