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933" w:rsidRDefault="00EA2581">
      <w:pPr>
        <w:adjustRightInd w:val="0"/>
        <w:snapToGrid w:val="0"/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中银基金管理有限公司关于旗下基金</w:t>
      </w:r>
      <w:r w:rsidR="00F93132">
        <w:rPr>
          <w:b/>
          <w:sz w:val="28"/>
          <w:szCs w:val="28"/>
        </w:rPr>
        <w:t>2026</w:t>
      </w:r>
      <w:r>
        <w:rPr>
          <w:rFonts w:hint="eastAsia"/>
          <w:b/>
          <w:sz w:val="28"/>
          <w:szCs w:val="28"/>
        </w:rPr>
        <w:t>年非港股通交易日暂停申购、赎回、转换、定期定额投资等业务的公告</w:t>
      </w:r>
    </w:p>
    <w:p w:rsidR="00A30933" w:rsidRDefault="00A30933">
      <w:pPr>
        <w:spacing w:line="400" w:lineRule="exact"/>
        <w:rPr>
          <w:b/>
        </w:rPr>
      </w:pPr>
    </w:p>
    <w:p w:rsidR="00A30933" w:rsidRDefault="00EA2581">
      <w:pPr>
        <w:spacing w:line="400" w:lineRule="exact"/>
        <w:ind w:firstLineChars="200" w:firstLine="420"/>
      </w:pPr>
      <w:r>
        <w:rPr>
          <w:rFonts w:hint="eastAsia"/>
        </w:rPr>
        <w:t>为了保障基金平稳运作，保护持有人利益，方便投资者办理基金申购、赎回等业务，根据上海证券交易所和深圳证券交易所的通知，中银基金管理有限公司（以下简称“本公司”）根据</w:t>
      </w:r>
      <w:r>
        <w:t>旗下部分基金的基金合同等相关法律文件的约定</w:t>
      </w:r>
      <w:r>
        <w:rPr>
          <w:rFonts w:hint="eastAsia"/>
        </w:rPr>
        <w:t>，</w:t>
      </w:r>
      <w:r>
        <w:t>决定对</w:t>
      </w:r>
      <w:r>
        <w:rPr>
          <w:rFonts w:hint="eastAsia"/>
        </w:rPr>
        <w:t>下述</w:t>
      </w:r>
      <w:r>
        <w:t>基金暂停办理</w:t>
      </w:r>
      <w:r>
        <w:rPr>
          <w:rFonts w:hint="eastAsia"/>
        </w:rPr>
        <w:t>申购、赎回、转换、定期定额投资等业务</w:t>
      </w:r>
      <w:r>
        <w:t>，并</w:t>
      </w:r>
      <w:r>
        <w:rPr>
          <w:rFonts w:hint="eastAsia"/>
        </w:rPr>
        <w:t>自下列非港股通交易日结束后的首个开放日</w:t>
      </w:r>
      <w:r>
        <w:t>恢复</w:t>
      </w:r>
      <w:r>
        <w:rPr>
          <w:rFonts w:hint="eastAsia"/>
        </w:rPr>
        <w:t>办理</w:t>
      </w:r>
      <w:r>
        <w:t>日常</w:t>
      </w:r>
      <w:r>
        <w:rPr>
          <w:rFonts w:hint="eastAsia"/>
        </w:rPr>
        <w:t>申购、赎回、转换、定期定额投资等业务</w:t>
      </w:r>
      <w:r>
        <w:t>。届时</w:t>
      </w:r>
      <w:r>
        <w:rPr>
          <w:rFonts w:hint="eastAsia"/>
        </w:rPr>
        <w:t>将</w:t>
      </w:r>
      <w:r>
        <w:t>不再另行公告。</w:t>
      </w:r>
    </w:p>
    <w:p w:rsidR="00A30933" w:rsidRDefault="00A30933">
      <w:pPr>
        <w:spacing w:line="400" w:lineRule="exact"/>
        <w:ind w:firstLineChars="200" w:firstLine="420"/>
      </w:pPr>
    </w:p>
    <w:p w:rsidR="00A30933" w:rsidRDefault="00EA2581">
      <w:pPr>
        <w:spacing w:line="400" w:lineRule="exact"/>
        <w:ind w:firstLineChars="200" w:firstLine="422"/>
        <w:rPr>
          <w:b/>
        </w:rPr>
      </w:pPr>
      <w:r>
        <w:rPr>
          <w:rFonts w:hint="eastAsia"/>
          <w:b/>
        </w:rPr>
        <w:t>一</w:t>
      </w:r>
      <w:r>
        <w:rPr>
          <w:b/>
        </w:rPr>
        <w:t>、</w:t>
      </w:r>
      <w:r>
        <w:rPr>
          <w:rFonts w:hint="eastAsia"/>
          <w:b/>
        </w:rPr>
        <w:t>适用</w:t>
      </w:r>
      <w:r>
        <w:rPr>
          <w:b/>
        </w:rPr>
        <w:t>基金范围</w:t>
      </w:r>
    </w:p>
    <w:tbl>
      <w:tblPr>
        <w:tblW w:w="5000" w:type="pct"/>
        <w:tblLook w:val="04A0"/>
      </w:tblPr>
      <w:tblGrid>
        <w:gridCol w:w="1668"/>
        <w:gridCol w:w="5526"/>
        <w:gridCol w:w="1328"/>
      </w:tblGrid>
      <w:tr w:rsidR="00A30933">
        <w:trPr>
          <w:trHeight w:val="33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基金全称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基金代码</w:t>
            </w:r>
          </w:p>
        </w:tc>
      </w:tr>
      <w:tr w:rsidR="00A30933">
        <w:trPr>
          <w:trHeight w:val="33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</w:pPr>
            <w:r>
              <w:rPr>
                <w:rFonts w:cs="Arial" w:hint="eastAsia"/>
                <w:color w:val="000000"/>
                <w:sz w:val="20"/>
                <w:szCs w:val="20"/>
              </w:rPr>
              <w:t>中银港股通优势成长股票型证券投资基金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010204</w:t>
            </w:r>
          </w:p>
        </w:tc>
      </w:tr>
      <w:tr w:rsidR="00A30933">
        <w:trPr>
          <w:trHeight w:val="33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</w:pPr>
            <w:r>
              <w:rPr>
                <w:rFonts w:cs="Arial" w:hint="eastAsia"/>
                <w:color w:val="000000"/>
                <w:sz w:val="20"/>
                <w:szCs w:val="20"/>
              </w:rPr>
              <w:t>中银大健康股票型证券投资基金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A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类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009414</w:t>
            </w:r>
          </w:p>
        </w:tc>
      </w:tr>
      <w:tr w:rsidR="00A30933">
        <w:trPr>
          <w:trHeight w:val="33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</w:pPr>
            <w:r>
              <w:rPr>
                <w:rFonts w:cs="Arial" w:hint="eastAsia"/>
                <w:color w:val="000000"/>
                <w:sz w:val="20"/>
                <w:szCs w:val="20"/>
              </w:rPr>
              <w:t>中银大健康股票型证券投资基金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C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类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010321</w:t>
            </w:r>
          </w:p>
        </w:tc>
      </w:tr>
      <w:tr w:rsidR="00A30933">
        <w:trPr>
          <w:trHeight w:val="33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</w:pPr>
            <w:r>
              <w:rPr>
                <w:rFonts w:cs="Arial" w:hint="eastAsia"/>
                <w:color w:val="000000"/>
                <w:sz w:val="20"/>
                <w:szCs w:val="20"/>
              </w:rPr>
              <w:t>中银高质量发展机遇混合型证券投资基金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A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类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009026</w:t>
            </w:r>
          </w:p>
        </w:tc>
      </w:tr>
      <w:tr w:rsidR="00A30933">
        <w:trPr>
          <w:trHeight w:val="33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中银高质量发展机遇混合型证券投资基金</w:t>
            </w:r>
            <w:r>
              <w:rPr>
                <w:rFonts w:cs="Arial"/>
                <w:color w:val="000000"/>
                <w:sz w:val="20"/>
                <w:szCs w:val="20"/>
              </w:rPr>
              <w:t>C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类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017784</w:t>
            </w:r>
          </w:p>
        </w:tc>
      </w:tr>
      <w:tr w:rsidR="00A30933">
        <w:trPr>
          <w:trHeight w:val="33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</w:pPr>
            <w:r>
              <w:rPr>
                <w:rFonts w:cs="Arial" w:hint="eastAsia"/>
                <w:color w:val="000000"/>
                <w:sz w:val="20"/>
                <w:szCs w:val="20"/>
              </w:rPr>
              <w:t>中银创新医疗混合型证券投资基金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A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类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007718</w:t>
            </w:r>
          </w:p>
        </w:tc>
      </w:tr>
      <w:tr w:rsidR="00A30933">
        <w:trPr>
          <w:trHeight w:val="33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</w:pPr>
            <w:r>
              <w:rPr>
                <w:rFonts w:cs="Arial" w:hint="eastAsia"/>
                <w:color w:val="000000"/>
                <w:sz w:val="20"/>
                <w:szCs w:val="20"/>
              </w:rPr>
              <w:t>中银创新医疗混合型证券投资基金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C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类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010500</w:t>
            </w:r>
          </w:p>
        </w:tc>
      </w:tr>
      <w:tr w:rsidR="00A30933">
        <w:trPr>
          <w:trHeight w:val="33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</w:pPr>
            <w:r>
              <w:t>8</w:t>
            </w:r>
          </w:p>
        </w:tc>
        <w:tc>
          <w:tcPr>
            <w:tcW w:w="3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</w:pPr>
            <w:r>
              <w:rPr>
                <w:rFonts w:cs="Arial" w:hint="eastAsia"/>
                <w:color w:val="000000"/>
                <w:sz w:val="20"/>
                <w:szCs w:val="20"/>
              </w:rPr>
              <w:t>中银民丰回报混合型证券投资基金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007318</w:t>
            </w:r>
          </w:p>
        </w:tc>
      </w:tr>
      <w:tr w:rsidR="00A30933">
        <w:trPr>
          <w:trHeight w:val="33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</w:pPr>
            <w:r>
              <w:t>9</w:t>
            </w:r>
          </w:p>
        </w:tc>
        <w:tc>
          <w:tcPr>
            <w:tcW w:w="3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</w:pPr>
            <w:r>
              <w:rPr>
                <w:rFonts w:cs="Arial" w:hint="eastAsia"/>
                <w:color w:val="000000"/>
                <w:sz w:val="20"/>
                <w:szCs w:val="20"/>
              </w:rPr>
              <w:t>中银景元回报混合型证券投资基金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006952</w:t>
            </w:r>
          </w:p>
        </w:tc>
      </w:tr>
      <w:tr w:rsidR="00A30933">
        <w:trPr>
          <w:trHeight w:val="33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</w:pPr>
            <w:r>
              <w:t>10</w:t>
            </w:r>
          </w:p>
        </w:tc>
        <w:tc>
          <w:tcPr>
            <w:tcW w:w="3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</w:pPr>
            <w:r>
              <w:rPr>
                <w:rFonts w:cs="Arial" w:hint="eastAsia"/>
                <w:color w:val="000000"/>
                <w:sz w:val="20"/>
                <w:szCs w:val="20"/>
              </w:rPr>
              <w:t>中银双息回报混合型证券投资基金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A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类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006243</w:t>
            </w:r>
          </w:p>
        </w:tc>
      </w:tr>
      <w:tr w:rsidR="00A30933">
        <w:trPr>
          <w:trHeight w:val="33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</w:pPr>
            <w:r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中银双息回报混合型证券投资基金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C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类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014454</w:t>
            </w:r>
          </w:p>
        </w:tc>
      </w:tr>
      <w:tr w:rsidR="00A30933">
        <w:trPr>
          <w:trHeight w:val="33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中银核心精选混合型证券投资基金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A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类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012706</w:t>
            </w:r>
          </w:p>
        </w:tc>
      </w:tr>
      <w:tr w:rsidR="00A30933">
        <w:trPr>
          <w:trHeight w:val="33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中银核心精选混合型证券投资基金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C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类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012707</w:t>
            </w:r>
          </w:p>
        </w:tc>
      </w:tr>
      <w:tr w:rsidR="00A30933">
        <w:trPr>
          <w:trHeight w:val="33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中银远见成长混合型证券投资基金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A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类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14049</w:t>
            </w:r>
          </w:p>
        </w:tc>
      </w:tr>
      <w:tr w:rsidR="00A30933">
        <w:trPr>
          <w:trHeight w:val="33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中银远见成长混合型证券投资基金</w:t>
            </w:r>
            <w:r>
              <w:rPr>
                <w:rFonts w:cs="Arial"/>
                <w:color w:val="000000"/>
                <w:sz w:val="20"/>
                <w:szCs w:val="20"/>
              </w:rPr>
              <w:t>C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类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14050</w:t>
            </w:r>
          </w:p>
        </w:tc>
      </w:tr>
      <w:tr w:rsidR="00A30933">
        <w:trPr>
          <w:trHeight w:val="33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</w:t>
            </w: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中银卓越成长混合型证券投资基金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A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类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016895</w:t>
            </w:r>
          </w:p>
        </w:tc>
      </w:tr>
      <w:tr w:rsidR="00A30933">
        <w:trPr>
          <w:trHeight w:val="33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</w:t>
            </w:r>
            <w:r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中银卓越成长混合型证券投资基金</w:t>
            </w:r>
            <w:r>
              <w:rPr>
                <w:rFonts w:cs="Arial"/>
                <w:color w:val="000000"/>
                <w:sz w:val="20"/>
                <w:szCs w:val="20"/>
              </w:rPr>
              <w:t>C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类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16896</w:t>
            </w:r>
          </w:p>
        </w:tc>
      </w:tr>
      <w:tr w:rsidR="00A30933">
        <w:trPr>
          <w:trHeight w:val="33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中银港股通医药混合型发起式证券投资基金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A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类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020397</w:t>
            </w:r>
          </w:p>
        </w:tc>
      </w:tr>
      <w:tr w:rsidR="00A30933">
        <w:trPr>
          <w:trHeight w:val="33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中银港股通医药混合型发起式证券投资基金</w:t>
            </w:r>
            <w:r>
              <w:rPr>
                <w:rFonts w:cs="Arial"/>
                <w:color w:val="000000"/>
                <w:sz w:val="20"/>
                <w:szCs w:val="20"/>
              </w:rPr>
              <w:t>C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类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020398</w:t>
            </w:r>
          </w:p>
        </w:tc>
      </w:tr>
      <w:tr w:rsidR="00A30933">
        <w:trPr>
          <w:trHeight w:val="33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2</w:t>
            </w: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中银数字经济混合型证券投资基金</w:t>
            </w:r>
            <w:r>
              <w:rPr>
                <w:rFonts w:cs="Arial"/>
                <w:color w:val="000000"/>
                <w:sz w:val="20"/>
                <w:szCs w:val="20"/>
              </w:rPr>
              <w:t>A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类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19426</w:t>
            </w:r>
          </w:p>
        </w:tc>
      </w:tr>
      <w:tr w:rsidR="00A30933">
        <w:trPr>
          <w:trHeight w:val="33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2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中银数字经济混合型证券投资基金</w:t>
            </w:r>
            <w:r>
              <w:rPr>
                <w:rFonts w:cs="Arial"/>
                <w:color w:val="000000"/>
                <w:sz w:val="20"/>
                <w:szCs w:val="20"/>
              </w:rPr>
              <w:t>C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类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933" w:rsidRDefault="00EA2581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19427</w:t>
            </w:r>
          </w:p>
        </w:tc>
      </w:tr>
      <w:tr w:rsidR="00F93132" w:rsidTr="00EA2581">
        <w:trPr>
          <w:trHeight w:val="33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132" w:rsidRDefault="00F93132" w:rsidP="00F93132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2</w:t>
            </w: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132" w:rsidRDefault="00F93132" w:rsidP="00F93132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A2581">
              <w:rPr>
                <w:rFonts w:cs="Arial" w:hint="eastAsia"/>
                <w:color w:val="000000"/>
                <w:sz w:val="20"/>
                <w:szCs w:val="20"/>
              </w:rPr>
              <w:t>中银中证港股通高股息投资指数型证券投资基金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A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类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132" w:rsidRDefault="00F93132" w:rsidP="00F93132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A2581">
              <w:rPr>
                <w:rFonts w:cs="Arial"/>
                <w:color w:val="000000"/>
                <w:sz w:val="20"/>
                <w:szCs w:val="20"/>
              </w:rPr>
              <w:t>023104</w:t>
            </w:r>
          </w:p>
        </w:tc>
      </w:tr>
      <w:tr w:rsidR="00F93132" w:rsidTr="00EA2581">
        <w:trPr>
          <w:trHeight w:val="33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132" w:rsidRDefault="00F93132" w:rsidP="00F93132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2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132" w:rsidRDefault="00F93132" w:rsidP="00F93132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A2581">
              <w:rPr>
                <w:rFonts w:cs="Arial" w:hint="eastAsia"/>
                <w:color w:val="000000"/>
                <w:sz w:val="20"/>
                <w:szCs w:val="20"/>
              </w:rPr>
              <w:t>中银中证港股通高股息投资指数型证券投资基金</w:t>
            </w:r>
            <w:r>
              <w:rPr>
                <w:rFonts w:cs="Arial"/>
                <w:color w:val="000000"/>
                <w:sz w:val="20"/>
                <w:szCs w:val="20"/>
              </w:rPr>
              <w:t>C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类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132" w:rsidRDefault="00F93132" w:rsidP="00F93132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A2581">
              <w:rPr>
                <w:rFonts w:cs="Arial"/>
                <w:color w:val="000000"/>
                <w:sz w:val="20"/>
                <w:szCs w:val="20"/>
              </w:rPr>
              <w:t>023105</w:t>
            </w:r>
          </w:p>
        </w:tc>
      </w:tr>
      <w:tr w:rsidR="00F93132" w:rsidTr="00EA2581">
        <w:trPr>
          <w:trHeight w:val="33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132" w:rsidRDefault="00F93132" w:rsidP="00F93132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2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132" w:rsidRDefault="00F93132" w:rsidP="00F93132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A2581">
              <w:rPr>
                <w:rFonts w:cs="Arial" w:hint="eastAsia"/>
                <w:color w:val="000000"/>
                <w:sz w:val="20"/>
                <w:szCs w:val="20"/>
              </w:rPr>
              <w:t>中银中证港股通互联网指数型发起式证券投资基金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A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类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132" w:rsidRDefault="00F93132" w:rsidP="00F93132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A2581">
              <w:rPr>
                <w:rFonts w:cs="Arial"/>
                <w:color w:val="000000"/>
                <w:sz w:val="20"/>
                <w:szCs w:val="20"/>
              </w:rPr>
              <w:t>025186</w:t>
            </w:r>
          </w:p>
        </w:tc>
      </w:tr>
      <w:tr w:rsidR="00F93132" w:rsidTr="00EA2581">
        <w:trPr>
          <w:trHeight w:val="33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132" w:rsidRDefault="00F93132" w:rsidP="00F93132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2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132" w:rsidRDefault="00F93132" w:rsidP="00F93132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A2581">
              <w:rPr>
                <w:rFonts w:cs="Arial" w:hint="eastAsia"/>
                <w:color w:val="000000"/>
                <w:sz w:val="20"/>
                <w:szCs w:val="20"/>
              </w:rPr>
              <w:t>中银中证港股通互联网指数型发起式证券投资基金</w:t>
            </w:r>
            <w:r>
              <w:rPr>
                <w:rFonts w:cs="Arial"/>
                <w:color w:val="000000"/>
                <w:sz w:val="20"/>
                <w:szCs w:val="20"/>
              </w:rPr>
              <w:t>C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类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132" w:rsidRDefault="00F93132" w:rsidP="00F93132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A2581">
              <w:rPr>
                <w:rFonts w:cs="Arial"/>
                <w:color w:val="000000"/>
                <w:sz w:val="20"/>
                <w:szCs w:val="20"/>
              </w:rPr>
              <w:t>025187</w:t>
            </w:r>
          </w:p>
        </w:tc>
      </w:tr>
      <w:tr w:rsidR="00F93132" w:rsidTr="00EA2581">
        <w:trPr>
          <w:trHeight w:val="33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132" w:rsidRDefault="00F93132" w:rsidP="00F93132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2</w:t>
            </w: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132" w:rsidRDefault="00F93132" w:rsidP="00F93132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A2581">
              <w:rPr>
                <w:rFonts w:cs="Arial" w:hint="eastAsia"/>
                <w:color w:val="000000"/>
                <w:sz w:val="20"/>
                <w:szCs w:val="20"/>
              </w:rPr>
              <w:t>中银港股通消费精选混合型发起式证券投资基金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A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类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132" w:rsidRDefault="00F93132" w:rsidP="00F93132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A2581">
              <w:rPr>
                <w:rFonts w:cs="Arial"/>
                <w:color w:val="000000"/>
                <w:sz w:val="20"/>
                <w:szCs w:val="20"/>
              </w:rPr>
              <w:t>025694</w:t>
            </w:r>
          </w:p>
        </w:tc>
      </w:tr>
      <w:tr w:rsidR="00F93132" w:rsidTr="00EA2581">
        <w:trPr>
          <w:trHeight w:val="33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132" w:rsidRDefault="00F93132" w:rsidP="00F93132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2</w:t>
            </w:r>
            <w:r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132" w:rsidRDefault="00F93132" w:rsidP="00F93132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A2581">
              <w:rPr>
                <w:rFonts w:cs="Arial" w:hint="eastAsia"/>
                <w:color w:val="000000"/>
                <w:sz w:val="20"/>
                <w:szCs w:val="20"/>
              </w:rPr>
              <w:t>中银港股通消费精选混合型发起式证券投资基金</w:t>
            </w:r>
            <w:r>
              <w:rPr>
                <w:rFonts w:cs="Arial"/>
                <w:color w:val="000000"/>
                <w:sz w:val="20"/>
                <w:szCs w:val="20"/>
              </w:rPr>
              <w:t>C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类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132" w:rsidRDefault="00F93132" w:rsidP="00F93132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A2581">
              <w:rPr>
                <w:rFonts w:cs="Arial"/>
                <w:color w:val="000000"/>
                <w:sz w:val="20"/>
                <w:szCs w:val="20"/>
              </w:rPr>
              <w:t>025695</w:t>
            </w:r>
          </w:p>
        </w:tc>
      </w:tr>
      <w:tr w:rsidR="00F93132" w:rsidTr="00EA2581">
        <w:trPr>
          <w:trHeight w:val="33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132" w:rsidRDefault="00F93132" w:rsidP="00F93132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2</w:t>
            </w:r>
            <w:r>
              <w:rPr>
                <w:rFonts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132" w:rsidRDefault="00F93132" w:rsidP="00F93132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A2581">
              <w:rPr>
                <w:rFonts w:cs="Arial" w:hint="eastAsia"/>
                <w:color w:val="000000"/>
                <w:sz w:val="20"/>
                <w:szCs w:val="20"/>
              </w:rPr>
              <w:t>中银恒泰</w:t>
            </w:r>
            <w:r w:rsidRPr="00EA2581">
              <w:rPr>
                <w:rFonts w:cs="Arial" w:hint="eastAsia"/>
                <w:color w:val="000000"/>
                <w:sz w:val="20"/>
                <w:szCs w:val="20"/>
              </w:rPr>
              <w:t>9</w:t>
            </w:r>
            <w:r w:rsidRPr="00EA2581">
              <w:rPr>
                <w:rFonts w:cs="Arial" w:hint="eastAsia"/>
                <w:color w:val="000000"/>
                <w:sz w:val="20"/>
                <w:szCs w:val="20"/>
              </w:rPr>
              <w:t>个月持有期债券型证券投资基金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A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类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132" w:rsidRDefault="00F93132" w:rsidP="00F93132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A2581">
              <w:rPr>
                <w:rFonts w:cs="Arial"/>
                <w:color w:val="000000"/>
                <w:sz w:val="20"/>
                <w:szCs w:val="20"/>
              </w:rPr>
              <w:t>012191</w:t>
            </w:r>
          </w:p>
        </w:tc>
      </w:tr>
      <w:tr w:rsidR="00F93132" w:rsidTr="00EA2581">
        <w:trPr>
          <w:trHeight w:val="33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132" w:rsidRDefault="00F93132" w:rsidP="00F93132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lastRenderedPageBreak/>
              <w:t>2</w:t>
            </w: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132" w:rsidRDefault="00F93132" w:rsidP="00F93132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A2581">
              <w:rPr>
                <w:rFonts w:cs="Arial" w:hint="eastAsia"/>
                <w:color w:val="000000"/>
                <w:sz w:val="20"/>
                <w:szCs w:val="20"/>
              </w:rPr>
              <w:t>中银恒泰</w:t>
            </w:r>
            <w:r w:rsidRPr="00EA2581">
              <w:rPr>
                <w:rFonts w:cs="Arial" w:hint="eastAsia"/>
                <w:color w:val="000000"/>
                <w:sz w:val="20"/>
                <w:szCs w:val="20"/>
              </w:rPr>
              <w:t>9</w:t>
            </w:r>
            <w:r w:rsidRPr="00EA2581">
              <w:rPr>
                <w:rFonts w:cs="Arial" w:hint="eastAsia"/>
                <w:color w:val="000000"/>
                <w:sz w:val="20"/>
                <w:szCs w:val="20"/>
              </w:rPr>
              <w:t>个月持有期债券型证券投资基金</w:t>
            </w:r>
            <w:r>
              <w:rPr>
                <w:rFonts w:cs="Arial"/>
                <w:color w:val="000000"/>
                <w:sz w:val="20"/>
                <w:szCs w:val="20"/>
              </w:rPr>
              <w:t>C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类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132" w:rsidRDefault="00F93132" w:rsidP="00F93132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A2581">
              <w:rPr>
                <w:rFonts w:cs="Arial"/>
                <w:color w:val="000000"/>
                <w:sz w:val="20"/>
                <w:szCs w:val="20"/>
              </w:rPr>
              <w:t>012192</w:t>
            </w:r>
          </w:p>
        </w:tc>
      </w:tr>
      <w:tr w:rsidR="00F93132" w:rsidTr="00EA2581">
        <w:trPr>
          <w:trHeight w:val="33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132" w:rsidRDefault="00F93132" w:rsidP="00F93132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3</w:t>
            </w: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132" w:rsidRDefault="00F93132" w:rsidP="00F93132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A2581">
              <w:rPr>
                <w:rFonts w:cs="Arial" w:hint="eastAsia"/>
                <w:color w:val="000000"/>
                <w:sz w:val="20"/>
                <w:szCs w:val="20"/>
              </w:rPr>
              <w:t>中银富利</w:t>
            </w:r>
            <w:r w:rsidRPr="00EA2581">
              <w:rPr>
                <w:rFonts w:cs="Arial" w:hint="eastAsia"/>
                <w:color w:val="000000"/>
                <w:sz w:val="20"/>
                <w:szCs w:val="20"/>
              </w:rPr>
              <w:t>6</w:t>
            </w:r>
            <w:r w:rsidRPr="00EA2581">
              <w:rPr>
                <w:rFonts w:cs="Arial" w:hint="eastAsia"/>
                <w:color w:val="000000"/>
                <w:sz w:val="20"/>
                <w:szCs w:val="20"/>
              </w:rPr>
              <w:t>个月持有期混合型证券投资基金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A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类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132" w:rsidRDefault="00F93132" w:rsidP="00F93132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A2581">
              <w:rPr>
                <w:rFonts w:cs="Arial"/>
                <w:color w:val="000000"/>
                <w:sz w:val="20"/>
                <w:szCs w:val="20"/>
              </w:rPr>
              <w:t>018539</w:t>
            </w:r>
          </w:p>
        </w:tc>
      </w:tr>
      <w:tr w:rsidR="00F93132" w:rsidTr="00EA2581">
        <w:trPr>
          <w:trHeight w:val="33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132" w:rsidRDefault="00F93132" w:rsidP="00F93132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3</w:t>
            </w: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132" w:rsidRDefault="00F93132" w:rsidP="00F93132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A2581">
              <w:rPr>
                <w:rFonts w:cs="Arial" w:hint="eastAsia"/>
                <w:color w:val="000000"/>
                <w:sz w:val="20"/>
                <w:szCs w:val="20"/>
              </w:rPr>
              <w:t>中银富利</w:t>
            </w:r>
            <w:r w:rsidRPr="00EA2581">
              <w:rPr>
                <w:rFonts w:cs="Arial" w:hint="eastAsia"/>
                <w:color w:val="000000"/>
                <w:sz w:val="20"/>
                <w:szCs w:val="20"/>
              </w:rPr>
              <w:t>6</w:t>
            </w:r>
            <w:r w:rsidRPr="00EA2581">
              <w:rPr>
                <w:rFonts w:cs="Arial" w:hint="eastAsia"/>
                <w:color w:val="000000"/>
                <w:sz w:val="20"/>
                <w:szCs w:val="20"/>
              </w:rPr>
              <w:t>个月持有期混合型证券投资基金</w:t>
            </w:r>
            <w:r>
              <w:rPr>
                <w:rFonts w:cs="Arial"/>
                <w:color w:val="000000"/>
                <w:sz w:val="20"/>
                <w:szCs w:val="20"/>
              </w:rPr>
              <w:t>C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类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132" w:rsidRDefault="00F93132" w:rsidP="00F93132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A2581">
              <w:rPr>
                <w:rFonts w:cs="Arial"/>
                <w:color w:val="000000"/>
                <w:sz w:val="20"/>
                <w:szCs w:val="20"/>
              </w:rPr>
              <w:t>018540</w:t>
            </w:r>
          </w:p>
        </w:tc>
      </w:tr>
      <w:tr w:rsidR="00F93132" w:rsidTr="00EA2581">
        <w:trPr>
          <w:trHeight w:val="33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132" w:rsidRDefault="00F93132" w:rsidP="00F93132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3</w:t>
            </w: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132" w:rsidRDefault="00F93132" w:rsidP="00F93132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A2581">
              <w:rPr>
                <w:rFonts w:cs="Arial" w:hint="eastAsia"/>
                <w:color w:val="000000"/>
                <w:sz w:val="20"/>
                <w:szCs w:val="20"/>
              </w:rPr>
              <w:t>中银</w:t>
            </w:r>
            <w:r w:rsidRPr="00EA2581">
              <w:rPr>
                <w:rFonts w:cs="Arial" w:hint="eastAsia"/>
                <w:color w:val="000000"/>
                <w:sz w:val="20"/>
                <w:szCs w:val="20"/>
              </w:rPr>
              <w:t>ESG</w:t>
            </w:r>
            <w:r w:rsidRPr="00EA2581">
              <w:rPr>
                <w:rFonts w:cs="Arial" w:hint="eastAsia"/>
                <w:color w:val="000000"/>
                <w:sz w:val="20"/>
                <w:szCs w:val="20"/>
              </w:rPr>
              <w:t>主题混合型发起式证券投资基金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A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类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132" w:rsidRDefault="00F93132" w:rsidP="00F93132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A2581">
              <w:rPr>
                <w:rFonts w:cs="Arial"/>
                <w:color w:val="000000"/>
                <w:sz w:val="20"/>
                <w:szCs w:val="20"/>
              </w:rPr>
              <w:t>021904</w:t>
            </w:r>
          </w:p>
        </w:tc>
      </w:tr>
      <w:tr w:rsidR="00F93132" w:rsidTr="00EA2581">
        <w:trPr>
          <w:trHeight w:val="33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132" w:rsidRDefault="00F93132" w:rsidP="00F93132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3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132" w:rsidRDefault="00F93132" w:rsidP="00F93132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A2581">
              <w:rPr>
                <w:rFonts w:cs="Arial" w:hint="eastAsia"/>
                <w:color w:val="000000"/>
                <w:sz w:val="20"/>
                <w:szCs w:val="20"/>
              </w:rPr>
              <w:t>中银</w:t>
            </w:r>
            <w:r w:rsidRPr="00EA2581">
              <w:rPr>
                <w:rFonts w:cs="Arial" w:hint="eastAsia"/>
                <w:color w:val="000000"/>
                <w:sz w:val="20"/>
                <w:szCs w:val="20"/>
              </w:rPr>
              <w:t>ESG</w:t>
            </w:r>
            <w:r w:rsidRPr="00EA2581">
              <w:rPr>
                <w:rFonts w:cs="Arial" w:hint="eastAsia"/>
                <w:color w:val="000000"/>
                <w:sz w:val="20"/>
                <w:szCs w:val="20"/>
              </w:rPr>
              <w:t>主题混合型发起式证券投资基金</w:t>
            </w:r>
            <w:r>
              <w:rPr>
                <w:rFonts w:cs="Arial"/>
                <w:color w:val="000000"/>
                <w:sz w:val="20"/>
                <w:szCs w:val="20"/>
              </w:rPr>
              <w:t>C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类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132" w:rsidRDefault="00F93132" w:rsidP="00F93132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A2581">
              <w:rPr>
                <w:rFonts w:cs="Arial"/>
                <w:color w:val="000000"/>
                <w:sz w:val="20"/>
                <w:szCs w:val="20"/>
              </w:rPr>
              <w:t>021905</w:t>
            </w:r>
          </w:p>
        </w:tc>
      </w:tr>
      <w:tr w:rsidR="00F93132" w:rsidTr="00EA2581">
        <w:trPr>
          <w:trHeight w:val="33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132" w:rsidRDefault="00F93132" w:rsidP="00F93132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3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132" w:rsidRDefault="00F93132" w:rsidP="00F93132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A2581">
              <w:rPr>
                <w:rFonts w:cs="Arial" w:hint="eastAsia"/>
                <w:color w:val="000000"/>
                <w:sz w:val="20"/>
                <w:szCs w:val="20"/>
              </w:rPr>
              <w:t>中银鑫新消费成长混合型证券投资基金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A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类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132" w:rsidRDefault="00F93132" w:rsidP="00F93132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A2581">
              <w:rPr>
                <w:rFonts w:cs="Arial"/>
                <w:color w:val="000000"/>
                <w:sz w:val="20"/>
                <w:szCs w:val="20"/>
              </w:rPr>
              <w:t>010965</w:t>
            </w:r>
          </w:p>
        </w:tc>
      </w:tr>
      <w:tr w:rsidR="00F93132" w:rsidTr="00EA2581">
        <w:trPr>
          <w:trHeight w:val="330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132" w:rsidRDefault="00F93132" w:rsidP="00F93132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3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132" w:rsidRDefault="00F93132" w:rsidP="00F93132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A2581">
              <w:rPr>
                <w:rFonts w:cs="Arial" w:hint="eastAsia"/>
                <w:color w:val="000000"/>
                <w:sz w:val="20"/>
                <w:szCs w:val="20"/>
              </w:rPr>
              <w:t>中银鑫新消费成长混合型证券投资基金</w:t>
            </w:r>
            <w:r>
              <w:rPr>
                <w:rFonts w:cs="Arial"/>
                <w:color w:val="000000"/>
                <w:sz w:val="20"/>
                <w:szCs w:val="20"/>
              </w:rPr>
              <w:t>C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类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132" w:rsidRDefault="00F93132" w:rsidP="00F93132"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A2581">
              <w:rPr>
                <w:rFonts w:cs="Arial"/>
                <w:color w:val="000000"/>
                <w:sz w:val="20"/>
                <w:szCs w:val="20"/>
              </w:rPr>
              <w:t>010962</w:t>
            </w:r>
          </w:p>
        </w:tc>
      </w:tr>
    </w:tbl>
    <w:p w:rsidR="00A30933" w:rsidRDefault="00A30933">
      <w:pPr>
        <w:spacing w:line="400" w:lineRule="exact"/>
        <w:ind w:firstLineChars="200" w:firstLine="422"/>
        <w:rPr>
          <w:b/>
        </w:rPr>
      </w:pPr>
    </w:p>
    <w:p w:rsidR="00A30933" w:rsidRDefault="00EA2581">
      <w:pPr>
        <w:spacing w:line="400" w:lineRule="exact"/>
        <w:ind w:firstLineChars="200" w:firstLine="422"/>
        <w:rPr>
          <w:b/>
        </w:rPr>
      </w:pPr>
      <w:r>
        <w:rPr>
          <w:rFonts w:hint="eastAsia"/>
          <w:b/>
        </w:rPr>
        <w:t>二</w:t>
      </w:r>
      <w:r>
        <w:rPr>
          <w:b/>
        </w:rPr>
        <w:t>、</w:t>
      </w:r>
      <w:r>
        <w:rPr>
          <w:rFonts w:hint="eastAsia"/>
          <w:b/>
        </w:rPr>
        <w:t>暂停</w:t>
      </w:r>
      <w:r>
        <w:rPr>
          <w:b/>
        </w:rPr>
        <w:t>时间</w:t>
      </w:r>
      <w:r>
        <w:rPr>
          <w:rFonts w:hint="eastAsia"/>
          <w:b/>
        </w:rPr>
        <w:t>安排</w:t>
      </w:r>
    </w:p>
    <w:tbl>
      <w:tblPr>
        <w:tblStyle w:val="a8"/>
        <w:tblW w:w="0" w:type="auto"/>
        <w:tblLook w:val="04A0"/>
      </w:tblPr>
      <w:tblGrid>
        <w:gridCol w:w="2840"/>
        <w:gridCol w:w="1379"/>
        <w:gridCol w:w="4303"/>
      </w:tblGrid>
      <w:tr w:rsidR="00A30933">
        <w:tc>
          <w:tcPr>
            <w:tcW w:w="2840" w:type="dxa"/>
          </w:tcPr>
          <w:p w:rsidR="00A30933" w:rsidRDefault="00EA2581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年份</w:t>
            </w:r>
          </w:p>
        </w:tc>
        <w:tc>
          <w:tcPr>
            <w:tcW w:w="1379" w:type="dxa"/>
          </w:tcPr>
          <w:p w:rsidR="00A30933" w:rsidRDefault="00EA2581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月份</w:t>
            </w:r>
          </w:p>
        </w:tc>
        <w:tc>
          <w:tcPr>
            <w:tcW w:w="4303" w:type="dxa"/>
          </w:tcPr>
          <w:p w:rsidR="00A30933" w:rsidRDefault="00EA2581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</w:tr>
      <w:tr w:rsidR="00007D00">
        <w:tc>
          <w:tcPr>
            <w:tcW w:w="2840" w:type="dxa"/>
            <w:vMerge w:val="restart"/>
            <w:vAlign w:val="center"/>
          </w:tcPr>
          <w:p w:rsidR="00007D00" w:rsidRDefault="00007D00" w:rsidP="00F93132">
            <w:pPr>
              <w:spacing w:line="400" w:lineRule="exact"/>
              <w:jc w:val="center"/>
            </w:pPr>
            <w:r>
              <w:rPr>
                <w:rFonts w:hint="eastAsia"/>
              </w:rPr>
              <w:t>2</w:t>
            </w:r>
            <w:r>
              <w:t>026</w:t>
            </w:r>
            <w:r>
              <w:t>年</w:t>
            </w:r>
          </w:p>
        </w:tc>
        <w:tc>
          <w:tcPr>
            <w:tcW w:w="1379" w:type="dxa"/>
          </w:tcPr>
          <w:p w:rsidR="00007D00" w:rsidRDefault="00007D00">
            <w:pPr>
              <w:spacing w:line="400" w:lineRule="exact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4303" w:type="dxa"/>
          </w:tcPr>
          <w:p w:rsidR="00007D00" w:rsidRDefault="00007D00" w:rsidP="00F93132">
            <w:pPr>
              <w:spacing w:line="400" w:lineRule="exact"/>
              <w:jc w:val="left"/>
            </w:pPr>
            <w:r>
              <w:t>3</w:t>
            </w:r>
            <w:r>
              <w:t>日、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</w:p>
        </w:tc>
      </w:tr>
      <w:tr w:rsidR="00007D00">
        <w:tc>
          <w:tcPr>
            <w:tcW w:w="2840" w:type="dxa"/>
            <w:vMerge/>
            <w:vAlign w:val="center"/>
          </w:tcPr>
          <w:p w:rsidR="00007D00" w:rsidRDefault="00007D00" w:rsidP="00F93132">
            <w:pPr>
              <w:spacing w:line="400" w:lineRule="exact"/>
              <w:jc w:val="center"/>
            </w:pPr>
          </w:p>
        </w:tc>
        <w:tc>
          <w:tcPr>
            <w:tcW w:w="1379" w:type="dxa"/>
          </w:tcPr>
          <w:p w:rsidR="00007D00" w:rsidRDefault="00007D00">
            <w:pPr>
              <w:spacing w:line="400" w:lineRule="exact"/>
              <w:jc w:val="center"/>
            </w:pPr>
            <w: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4303" w:type="dxa"/>
          </w:tcPr>
          <w:p w:rsidR="00007D00" w:rsidRDefault="00007D00" w:rsidP="00F93132">
            <w:pPr>
              <w:spacing w:line="400" w:lineRule="exact"/>
              <w:jc w:val="left"/>
            </w:pPr>
            <w:r>
              <w:t>25</w:t>
            </w:r>
            <w:r>
              <w:rPr>
                <w:rFonts w:hint="eastAsia"/>
              </w:rPr>
              <w:t>日</w:t>
            </w:r>
          </w:p>
        </w:tc>
      </w:tr>
      <w:tr w:rsidR="00007D00">
        <w:tc>
          <w:tcPr>
            <w:tcW w:w="2840" w:type="dxa"/>
            <w:vMerge/>
          </w:tcPr>
          <w:p w:rsidR="00007D00" w:rsidRDefault="00007D00">
            <w:pPr>
              <w:spacing w:line="400" w:lineRule="exact"/>
              <w:jc w:val="center"/>
            </w:pPr>
          </w:p>
        </w:tc>
        <w:tc>
          <w:tcPr>
            <w:tcW w:w="1379" w:type="dxa"/>
          </w:tcPr>
          <w:p w:rsidR="00007D00" w:rsidRDefault="00007D00">
            <w:pPr>
              <w:spacing w:line="400" w:lineRule="exact"/>
              <w:jc w:val="center"/>
            </w:pPr>
            <w: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4303" w:type="dxa"/>
          </w:tcPr>
          <w:p w:rsidR="00007D00" w:rsidRDefault="00007D00">
            <w:pPr>
              <w:spacing w:line="400" w:lineRule="exact"/>
              <w:jc w:val="left"/>
            </w:pPr>
            <w:r>
              <w:t>1</w:t>
            </w:r>
            <w:r>
              <w:t>日</w:t>
            </w:r>
          </w:p>
        </w:tc>
      </w:tr>
      <w:tr w:rsidR="00007D00">
        <w:tc>
          <w:tcPr>
            <w:tcW w:w="2840" w:type="dxa"/>
            <w:vMerge/>
          </w:tcPr>
          <w:p w:rsidR="00007D00" w:rsidRDefault="00007D00">
            <w:pPr>
              <w:spacing w:line="400" w:lineRule="exact"/>
              <w:jc w:val="center"/>
            </w:pPr>
          </w:p>
        </w:tc>
        <w:tc>
          <w:tcPr>
            <w:tcW w:w="1379" w:type="dxa"/>
          </w:tcPr>
          <w:p w:rsidR="00007D00" w:rsidRDefault="00007D00">
            <w:pPr>
              <w:spacing w:line="400" w:lineRule="exact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t>月</w:t>
            </w:r>
          </w:p>
        </w:tc>
        <w:tc>
          <w:tcPr>
            <w:tcW w:w="4303" w:type="dxa"/>
          </w:tcPr>
          <w:p w:rsidR="00007D00" w:rsidRDefault="00007D00">
            <w:pPr>
              <w:widowControl/>
              <w:wordWrap w:val="0"/>
              <w:spacing w:line="330" w:lineRule="atLeast"/>
              <w:jc w:val="left"/>
            </w:pPr>
            <w:r>
              <w:t>19</w:t>
            </w:r>
            <w:r>
              <w:t>日</w:t>
            </w:r>
          </w:p>
        </w:tc>
      </w:tr>
      <w:tr w:rsidR="00007D00">
        <w:tc>
          <w:tcPr>
            <w:tcW w:w="2840" w:type="dxa"/>
            <w:vMerge/>
          </w:tcPr>
          <w:p w:rsidR="00007D00" w:rsidRDefault="00007D00">
            <w:pPr>
              <w:spacing w:line="400" w:lineRule="exact"/>
              <w:jc w:val="center"/>
            </w:pPr>
          </w:p>
        </w:tc>
        <w:tc>
          <w:tcPr>
            <w:tcW w:w="1379" w:type="dxa"/>
          </w:tcPr>
          <w:p w:rsidR="00007D00" w:rsidRDefault="00007D00">
            <w:pPr>
              <w:spacing w:line="400" w:lineRule="exact"/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4303" w:type="dxa"/>
          </w:tcPr>
          <w:p w:rsidR="00007D00" w:rsidRDefault="00007D00" w:rsidP="00EA2581">
            <w:pPr>
              <w:spacing w:line="400" w:lineRule="exact"/>
              <w:jc w:val="left"/>
            </w:pPr>
            <w:r>
              <w:t>24</w:t>
            </w:r>
            <w:r>
              <w:t>、</w:t>
            </w:r>
            <w:r>
              <w:rPr>
                <w:rFonts w:hint="eastAsia"/>
              </w:rPr>
              <w:t>2</w:t>
            </w:r>
            <w:r>
              <w:t>5</w:t>
            </w:r>
            <w:r>
              <w:t>、</w:t>
            </w:r>
            <w:r>
              <w:t>31</w:t>
            </w:r>
            <w:r>
              <w:t>日</w:t>
            </w:r>
          </w:p>
        </w:tc>
      </w:tr>
    </w:tbl>
    <w:p w:rsidR="00A30933" w:rsidRDefault="00EA2581">
      <w:pPr>
        <w:spacing w:line="400" w:lineRule="exact"/>
        <w:rPr>
          <w:b/>
        </w:rPr>
      </w:pPr>
      <w:r>
        <w:rPr>
          <w:rFonts w:hint="eastAsia"/>
          <w:b/>
        </w:rPr>
        <w:t xml:space="preserve">    </w:t>
      </w:r>
      <w:r>
        <w:rPr>
          <w:rFonts w:hint="eastAsia"/>
          <w:b/>
        </w:rPr>
        <w:t>重要提示：</w:t>
      </w:r>
    </w:p>
    <w:p w:rsidR="00A30933" w:rsidRDefault="00EA2581">
      <w:pPr>
        <w:spacing w:line="400" w:lineRule="exact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、上述非港股通交易日已剔除和上海证券交易所、深圳证券交易所休市日重合的日期。</w:t>
      </w:r>
    </w:p>
    <w:p w:rsidR="00A30933" w:rsidRDefault="00EA2581">
      <w:pPr>
        <w:spacing w:line="400" w:lineRule="exact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、如遇因其他原因暂停申购、赎回、转换、定期定额投资等业务的，具体业务办理以相关公告为准。</w:t>
      </w:r>
    </w:p>
    <w:p w:rsidR="00A30933" w:rsidRDefault="00EA2581">
      <w:pPr>
        <w:spacing w:line="400" w:lineRule="exact"/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、关于非港股通交易日的具体安排以上海证券交易所、深圳证券交易所发布的通知为准。</w:t>
      </w:r>
    </w:p>
    <w:p w:rsidR="00A30933" w:rsidRDefault="00EA2581">
      <w:pPr>
        <w:spacing w:line="400" w:lineRule="exact"/>
        <w:ind w:firstLineChars="200" w:firstLine="422"/>
        <w:rPr>
          <w:b/>
        </w:rPr>
      </w:pPr>
      <w:r>
        <w:rPr>
          <w:rFonts w:hint="eastAsia"/>
          <w:b/>
        </w:rPr>
        <w:t>4</w:t>
      </w:r>
      <w:r>
        <w:rPr>
          <w:rFonts w:hint="eastAsia"/>
          <w:b/>
        </w:rPr>
        <w:t>、如本公司新增合同约定非港股通交易日不开放的基金，则可不再另行公告。</w:t>
      </w:r>
    </w:p>
    <w:p w:rsidR="00A30933" w:rsidRDefault="00EA2581">
      <w:pPr>
        <w:spacing w:line="400" w:lineRule="exact"/>
        <w:ind w:firstLineChars="200" w:firstLine="420"/>
      </w:pPr>
      <w:r>
        <w:rPr>
          <w:rFonts w:hint="eastAsia"/>
        </w:rPr>
        <w:t>5</w:t>
      </w:r>
      <w:r>
        <w:rPr>
          <w:rFonts w:hint="eastAsia"/>
        </w:rPr>
        <w:t>、</w:t>
      </w:r>
      <w:r>
        <w:t>敬请</w:t>
      </w:r>
      <w:r>
        <w:rPr>
          <w:rFonts w:hint="eastAsia"/>
        </w:rPr>
        <w:t>投资者仔细阅读基金合同、基金招募说明书（更新）等法律文件，</w:t>
      </w:r>
      <w:r>
        <w:t>及早做好交易安排，避免因非港股通交易日带来不便。</w:t>
      </w:r>
    </w:p>
    <w:p w:rsidR="00A30933" w:rsidRDefault="00EA2581">
      <w:pPr>
        <w:spacing w:line="400" w:lineRule="exact"/>
        <w:ind w:firstLineChars="200" w:firstLine="420"/>
      </w:pPr>
      <w:r>
        <w:rPr>
          <w:rFonts w:hint="eastAsia"/>
        </w:rPr>
        <w:t>投资者如欲了解详情，可登陆本公司网站（</w:t>
      </w:r>
      <w:r>
        <w:rPr>
          <w:rFonts w:hint="eastAsia"/>
        </w:rPr>
        <w:t>www.bocim.com</w:t>
      </w:r>
      <w:r>
        <w:rPr>
          <w:rFonts w:hint="eastAsia"/>
        </w:rPr>
        <w:t>）或拨打客户服务电话：</w:t>
      </w:r>
      <w:r>
        <w:rPr>
          <w:rFonts w:hint="eastAsia"/>
        </w:rPr>
        <w:t>400-888-5566</w:t>
      </w:r>
      <w:r>
        <w:rPr>
          <w:rFonts w:hint="eastAsia"/>
        </w:rPr>
        <w:t>；</w:t>
      </w:r>
      <w:r>
        <w:rPr>
          <w:rFonts w:hint="eastAsia"/>
        </w:rPr>
        <w:t>021-38834788</w:t>
      </w:r>
      <w:r>
        <w:rPr>
          <w:rFonts w:hint="eastAsia"/>
        </w:rPr>
        <w:t>咨询相关情况。</w:t>
      </w:r>
    </w:p>
    <w:p w:rsidR="00A30933" w:rsidRDefault="00EA2581">
      <w:pPr>
        <w:spacing w:line="400" w:lineRule="exact"/>
        <w:ind w:firstLineChars="200" w:firstLine="422"/>
        <w:rPr>
          <w:b/>
        </w:rPr>
      </w:pPr>
      <w:r>
        <w:rPr>
          <w:rFonts w:hint="eastAsia"/>
          <w:b/>
        </w:rPr>
        <w:t>风险提示：</w:t>
      </w:r>
      <w:r>
        <w:rPr>
          <w:rFonts w:hint="eastAsia"/>
          <w:b/>
        </w:rPr>
        <w:t xml:space="preserve"> </w:t>
      </w:r>
    </w:p>
    <w:p w:rsidR="00A30933" w:rsidRDefault="00EA2581">
      <w:pPr>
        <w:spacing w:line="400" w:lineRule="exact"/>
        <w:ind w:firstLineChars="200" w:firstLine="420"/>
      </w:pPr>
      <w:r>
        <w:rPr>
          <w:rFonts w:hint="eastAsia"/>
        </w:rPr>
        <w:t>基金管理人承诺依照诚实信用、勤勉尽职的原则管理和运用基金资产，但不保证基金一定盈利，也不保证最低收益。基金的过往业绩及其净值高低并不预示其未来业绩表现。基金管理人提醒投资者基金投资的“买者自负”原则，</w:t>
      </w:r>
      <w:bookmarkStart w:id="0" w:name="_GoBack"/>
      <w:bookmarkEnd w:id="0"/>
      <w:r>
        <w:rPr>
          <w:rFonts w:hint="eastAsia"/>
        </w:rPr>
        <w:t>在做出投资决策后，基金运营状况与基金净值变化引致的投资风险，由投资者自行负担。</w:t>
      </w:r>
    </w:p>
    <w:p w:rsidR="00A30933" w:rsidRDefault="00EA2581">
      <w:pPr>
        <w:spacing w:line="400" w:lineRule="exact"/>
        <w:ind w:firstLineChars="200" w:firstLine="420"/>
      </w:pPr>
      <w:r>
        <w:rPr>
          <w:rFonts w:hint="eastAsia"/>
        </w:rPr>
        <w:t>投资者投资基金前应认真阅读基金合同、招募说明书等法律文件，了解拟投资基金的风险收益特征，并根据自身投资目的、投资期限、投资经验、资产状况等判断基金是否和投资者的风险承受能力相匹配。</w:t>
      </w:r>
    </w:p>
    <w:p w:rsidR="00A30933" w:rsidRDefault="00EA2581">
      <w:pPr>
        <w:spacing w:line="400" w:lineRule="exact"/>
        <w:ind w:firstLineChars="200" w:firstLine="420"/>
      </w:pPr>
      <w:r>
        <w:rPr>
          <w:rFonts w:hint="eastAsia"/>
        </w:rPr>
        <w:t>特此公告。</w:t>
      </w:r>
    </w:p>
    <w:p w:rsidR="00A30933" w:rsidRDefault="00A30933">
      <w:pPr>
        <w:spacing w:line="400" w:lineRule="exact"/>
      </w:pPr>
    </w:p>
    <w:p w:rsidR="00A30933" w:rsidRDefault="00EA2581">
      <w:pPr>
        <w:adjustRightInd w:val="0"/>
        <w:spacing w:line="400" w:lineRule="exact"/>
        <w:ind w:firstLineChars="200" w:firstLine="420"/>
        <w:rPr>
          <w:rFonts w:ascii="Times New Roman" w:hAnsi="Times New Roman"/>
          <w:color w:val="000000"/>
        </w:rPr>
      </w:pPr>
      <w:r>
        <w:rPr>
          <w:rFonts w:hint="eastAsia"/>
        </w:rPr>
        <w:t xml:space="preserve">                                              </w:t>
      </w:r>
    </w:p>
    <w:p w:rsidR="00A30933" w:rsidRDefault="00EA2581">
      <w:pPr>
        <w:spacing w:line="400" w:lineRule="exact"/>
        <w:jc w:val="right"/>
        <w:rPr>
          <w:rFonts w:eastAsia="宋体"/>
          <w:szCs w:val="21"/>
        </w:rPr>
      </w:pPr>
      <w:r>
        <w:rPr>
          <w:rFonts w:eastAsia="宋体" w:hint="eastAsia"/>
          <w:szCs w:val="21"/>
        </w:rPr>
        <w:t>中银基金管理有限公司</w:t>
      </w:r>
    </w:p>
    <w:p w:rsidR="00A30933" w:rsidRDefault="00EA2581">
      <w:pPr>
        <w:spacing w:line="400" w:lineRule="exact"/>
        <w:ind w:firstLineChars="3050" w:firstLine="6405"/>
        <w:jc w:val="right"/>
        <w:rPr>
          <w:rFonts w:eastAsia="宋体"/>
          <w:szCs w:val="21"/>
        </w:rPr>
      </w:pPr>
      <w:r>
        <w:rPr>
          <w:rFonts w:eastAsia="宋体" w:hint="eastAsia"/>
          <w:szCs w:val="21"/>
        </w:rPr>
        <w:t>20</w:t>
      </w:r>
      <w:r>
        <w:rPr>
          <w:rFonts w:eastAsia="宋体"/>
          <w:szCs w:val="21"/>
        </w:rPr>
        <w:t>25</w:t>
      </w:r>
      <w:r>
        <w:rPr>
          <w:rFonts w:eastAsia="宋体" w:hint="eastAsia"/>
          <w:szCs w:val="21"/>
        </w:rPr>
        <w:t>年</w:t>
      </w:r>
      <w:r>
        <w:rPr>
          <w:rFonts w:eastAsia="宋体"/>
          <w:szCs w:val="21"/>
        </w:rPr>
        <w:t>12</w:t>
      </w:r>
      <w:r>
        <w:rPr>
          <w:rFonts w:eastAsia="宋体" w:hint="eastAsia"/>
          <w:szCs w:val="21"/>
        </w:rPr>
        <w:t>月</w:t>
      </w:r>
      <w:r>
        <w:rPr>
          <w:rFonts w:eastAsia="宋体"/>
          <w:szCs w:val="21"/>
        </w:rPr>
        <w:t>31</w:t>
      </w:r>
      <w:r>
        <w:rPr>
          <w:rFonts w:eastAsia="宋体" w:hint="eastAsia"/>
          <w:szCs w:val="21"/>
        </w:rPr>
        <w:t>日</w:t>
      </w:r>
    </w:p>
    <w:p w:rsidR="00A30933" w:rsidRDefault="00A30933">
      <w:pPr>
        <w:spacing w:line="400" w:lineRule="exact"/>
      </w:pPr>
    </w:p>
    <w:sectPr w:rsidR="00A30933" w:rsidSect="000B1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162" w:rsidRDefault="00257162" w:rsidP="00007D00">
      <w:r>
        <w:separator/>
      </w:r>
    </w:p>
  </w:endnote>
  <w:endnote w:type="continuationSeparator" w:id="0">
    <w:p w:rsidR="00257162" w:rsidRDefault="00257162" w:rsidP="00007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162" w:rsidRDefault="00257162" w:rsidP="00007D00">
      <w:r>
        <w:separator/>
      </w:r>
    </w:p>
  </w:footnote>
  <w:footnote w:type="continuationSeparator" w:id="0">
    <w:p w:rsidR="00257162" w:rsidRDefault="00257162" w:rsidP="00007D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69D6"/>
    <w:rsid w:val="00007D00"/>
    <w:rsid w:val="0007464A"/>
    <w:rsid w:val="00080946"/>
    <w:rsid w:val="00082C57"/>
    <w:rsid w:val="0008589E"/>
    <w:rsid w:val="00092F7F"/>
    <w:rsid w:val="000A2B40"/>
    <w:rsid w:val="000B0B5C"/>
    <w:rsid w:val="000B11CB"/>
    <w:rsid w:val="000B5861"/>
    <w:rsid w:val="000C6870"/>
    <w:rsid w:val="000F728D"/>
    <w:rsid w:val="001039D6"/>
    <w:rsid w:val="00141C73"/>
    <w:rsid w:val="00143756"/>
    <w:rsid w:val="00146E7A"/>
    <w:rsid w:val="00171D7F"/>
    <w:rsid w:val="00192F20"/>
    <w:rsid w:val="001C6BFC"/>
    <w:rsid w:val="001E1F0C"/>
    <w:rsid w:val="00204A26"/>
    <w:rsid w:val="00222154"/>
    <w:rsid w:val="002413A8"/>
    <w:rsid w:val="00247A9B"/>
    <w:rsid w:val="00257162"/>
    <w:rsid w:val="002627A3"/>
    <w:rsid w:val="002719F8"/>
    <w:rsid w:val="00275D43"/>
    <w:rsid w:val="002915DA"/>
    <w:rsid w:val="0029428D"/>
    <w:rsid w:val="002B5B4F"/>
    <w:rsid w:val="002F00B8"/>
    <w:rsid w:val="003009AE"/>
    <w:rsid w:val="00301587"/>
    <w:rsid w:val="00317FB8"/>
    <w:rsid w:val="00354D6D"/>
    <w:rsid w:val="00377B47"/>
    <w:rsid w:val="00397064"/>
    <w:rsid w:val="003C4CF8"/>
    <w:rsid w:val="003D07F9"/>
    <w:rsid w:val="003E3CC2"/>
    <w:rsid w:val="003E693A"/>
    <w:rsid w:val="003F4D3A"/>
    <w:rsid w:val="0040404C"/>
    <w:rsid w:val="00420D25"/>
    <w:rsid w:val="00450357"/>
    <w:rsid w:val="004653A2"/>
    <w:rsid w:val="00476294"/>
    <w:rsid w:val="004831F0"/>
    <w:rsid w:val="004A1F17"/>
    <w:rsid w:val="004E3B41"/>
    <w:rsid w:val="004F031D"/>
    <w:rsid w:val="00510E52"/>
    <w:rsid w:val="00524E8F"/>
    <w:rsid w:val="005442C0"/>
    <w:rsid w:val="0058384E"/>
    <w:rsid w:val="00595E7B"/>
    <w:rsid w:val="005A26A8"/>
    <w:rsid w:val="006175E7"/>
    <w:rsid w:val="0062198F"/>
    <w:rsid w:val="00624886"/>
    <w:rsid w:val="00637605"/>
    <w:rsid w:val="0064424E"/>
    <w:rsid w:val="00655B24"/>
    <w:rsid w:val="00676F8A"/>
    <w:rsid w:val="006B29B4"/>
    <w:rsid w:val="006B48C8"/>
    <w:rsid w:val="006E493F"/>
    <w:rsid w:val="006E559F"/>
    <w:rsid w:val="006F244C"/>
    <w:rsid w:val="00721778"/>
    <w:rsid w:val="00726A53"/>
    <w:rsid w:val="00735C62"/>
    <w:rsid w:val="00740292"/>
    <w:rsid w:val="007447F0"/>
    <w:rsid w:val="00770ACB"/>
    <w:rsid w:val="007747B6"/>
    <w:rsid w:val="007A700F"/>
    <w:rsid w:val="007C77D4"/>
    <w:rsid w:val="007E6A3F"/>
    <w:rsid w:val="007E6F88"/>
    <w:rsid w:val="007F6082"/>
    <w:rsid w:val="00860D09"/>
    <w:rsid w:val="00866BE7"/>
    <w:rsid w:val="008A5BC6"/>
    <w:rsid w:val="008A5F90"/>
    <w:rsid w:val="008A6505"/>
    <w:rsid w:val="008B1366"/>
    <w:rsid w:val="008B405E"/>
    <w:rsid w:val="008C71C1"/>
    <w:rsid w:val="008E4F69"/>
    <w:rsid w:val="008E53E9"/>
    <w:rsid w:val="00912474"/>
    <w:rsid w:val="00917812"/>
    <w:rsid w:val="0096326C"/>
    <w:rsid w:val="00973322"/>
    <w:rsid w:val="009752D4"/>
    <w:rsid w:val="00994E5B"/>
    <w:rsid w:val="009B5A64"/>
    <w:rsid w:val="009D5302"/>
    <w:rsid w:val="009E5855"/>
    <w:rsid w:val="009E5E79"/>
    <w:rsid w:val="00A119F9"/>
    <w:rsid w:val="00A11E53"/>
    <w:rsid w:val="00A30933"/>
    <w:rsid w:val="00A536E5"/>
    <w:rsid w:val="00A739EA"/>
    <w:rsid w:val="00A76476"/>
    <w:rsid w:val="00AC2ECA"/>
    <w:rsid w:val="00AE0DCC"/>
    <w:rsid w:val="00AF4D64"/>
    <w:rsid w:val="00B20798"/>
    <w:rsid w:val="00B26D4A"/>
    <w:rsid w:val="00B364AF"/>
    <w:rsid w:val="00B47412"/>
    <w:rsid w:val="00B52607"/>
    <w:rsid w:val="00B533C0"/>
    <w:rsid w:val="00B80F3B"/>
    <w:rsid w:val="00B86E03"/>
    <w:rsid w:val="00BD64B5"/>
    <w:rsid w:val="00BF5526"/>
    <w:rsid w:val="00C051EA"/>
    <w:rsid w:val="00C14838"/>
    <w:rsid w:val="00C235A0"/>
    <w:rsid w:val="00C30112"/>
    <w:rsid w:val="00C33EB9"/>
    <w:rsid w:val="00C506D1"/>
    <w:rsid w:val="00C65EB2"/>
    <w:rsid w:val="00C93355"/>
    <w:rsid w:val="00C97EA6"/>
    <w:rsid w:val="00CB04B1"/>
    <w:rsid w:val="00CC31BC"/>
    <w:rsid w:val="00CF1C16"/>
    <w:rsid w:val="00D12E6B"/>
    <w:rsid w:val="00D143B8"/>
    <w:rsid w:val="00D1525E"/>
    <w:rsid w:val="00D344D4"/>
    <w:rsid w:val="00D34CB2"/>
    <w:rsid w:val="00D57944"/>
    <w:rsid w:val="00D67560"/>
    <w:rsid w:val="00DB1703"/>
    <w:rsid w:val="00DB3DBB"/>
    <w:rsid w:val="00E04B02"/>
    <w:rsid w:val="00E054D3"/>
    <w:rsid w:val="00E443C7"/>
    <w:rsid w:val="00E66F7C"/>
    <w:rsid w:val="00E67259"/>
    <w:rsid w:val="00E70ADD"/>
    <w:rsid w:val="00E80CA3"/>
    <w:rsid w:val="00E84778"/>
    <w:rsid w:val="00E957CE"/>
    <w:rsid w:val="00EA0272"/>
    <w:rsid w:val="00EA2581"/>
    <w:rsid w:val="00EB0DB8"/>
    <w:rsid w:val="00F00D13"/>
    <w:rsid w:val="00F056F7"/>
    <w:rsid w:val="00F12E87"/>
    <w:rsid w:val="00F369D6"/>
    <w:rsid w:val="00F72266"/>
    <w:rsid w:val="00F7683B"/>
    <w:rsid w:val="00F93132"/>
    <w:rsid w:val="00F9374C"/>
    <w:rsid w:val="00F976DA"/>
    <w:rsid w:val="00FB6A38"/>
    <w:rsid w:val="00FE4E10"/>
    <w:rsid w:val="0ECE3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1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0B11CB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0B11C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B11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0B1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0B11CB"/>
    <w:rPr>
      <w:b/>
      <w:bCs/>
    </w:rPr>
  </w:style>
  <w:style w:type="table" w:styleId="a8">
    <w:name w:val="Table Grid"/>
    <w:basedOn w:val="a1"/>
    <w:uiPriority w:val="59"/>
    <w:rsid w:val="000B1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0B11CB"/>
    <w:rPr>
      <w:color w:val="5B9BD1"/>
      <w:u w:val="none"/>
      <w:shd w:val="clear" w:color="auto" w:fill="auto"/>
    </w:rPr>
  </w:style>
  <w:style w:type="character" w:styleId="aa">
    <w:name w:val="annotation reference"/>
    <w:basedOn w:val="a0"/>
    <w:uiPriority w:val="99"/>
    <w:semiHidden/>
    <w:unhideWhenUsed/>
    <w:rsid w:val="000B11CB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0B11C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B11CB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0B11CB"/>
  </w:style>
  <w:style w:type="character" w:customStyle="1" w:styleId="Char3">
    <w:name w:val="批注主题 Char"/>
    <w:basedOn w:val="Char"/>
    <w:link w:val="a7"/>
    <w:uiPriority w:val="99"/>
    <w:semiHidden/>
    <w:rsid w:val="000B11CB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B11CB"/>
    <w:rPr>
      <w:sz w:val="18"/>
      <w:szCs w:val="18"/>
    </w:rPr>
  </w:style>
  <w:style w:type="paragraph" w:styleId="ab">
    <w:name w:val="List Paragraph"/>
    <w:basedOn w:val="a"/>
    <w:uiPriority w:val="34"/>
    <w:qFormat/>
    <w:rsid w:val="000B11CB"/>
    <w:pPr>
      <w:ind w:firstLineChars="200" w:firstLine="420"/>
    </w:pPr>
  </w:style>
  <w:style w:type="paragraph" w:customStyle="1" w:styleId="1">
    <w:name w:val="修订1"/>
    <w:hidden/>
    <w:uiPriority w:val="99"/>
    <w:semiHidden/>
    <w:rsid w:val="000B11CB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305</Words>
  <Characters>1744</Characters>
  <Application>Microsoft Office Word</Application>
  <DocSecurity>4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李榕</dc:creator>
  <cp:lastModifiedBy>ZHONGM</cp:lastModifiedBy>
  <cp:revision>2</cp:revision>
  <dcterms:created xsi:type="dcterms:W3CDTF">2025-12-30T16:03:00Z</dcterms:created>
  <dcterms:modified xsi:type="dcterms:W3CDTF">2025-12-30T16:03:00Z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350C81AE481C435EA5159BEAFE221151</vt:lpwstr>
  </property>
</Properties>
</file>