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CD" w:rsidRDefault="00A744A2">
      <w:pPr>
        <w:widowControl w:val="0"/>
        <w:jc w:val="both"/>
      </w:pPr>
      <w:r>
        <w:t> </w:t>
      </w:r>
    </w:p>
    <w:p w:rsidR="00E43ACD" w:rsidRDefault="00A744A2">
      <w:pPr>
        <w:widowControl w:val="0"/>
        <w:jc w:val="both"/>
      </w:pPr>
      <w:r>
        <w:t> </w:t>
      </w:r>
    </w:p>
    <w:p w:rsidR="00E43ACD" w:rsidRDefault="00A744A2">
      <w:pPr>
        <w:widowControl w:val="0"/>
        <w:jc w:val="both"/>
      </w:pPr>
      <w:r>
        <w:t> </w:t>
      </w:r>
    </w:p>
    <w:p w:rsidR="00E43ACD" w:rsidRDefault="00A744A2">
      <w:pPr>
        <w:widowControl w:val="0"/>
        <w:jc w:val="both"/>
      </w:pPr>
      <w:r>
        <w:t> </w:t>
      </w:r>
    </w:p>
    <w:p w:rsidR="00E43ACD" w:rsidRPr="003756EF" w:rsidRDefault="00A744A2">
      <w:pPr>
        <w:widowControl w:val="0"/>
        <w:jc w:val="center"/>
        <w:rPr>
          <w:sz w:val="48"/>
          <w:szCs w:val="48"/>
        </w:rPr>
      </w:pPr>
      <w:r w:rsidRPr="003756EF">
        <w:rPr>
          <w:rFonts w:ascii="宋体" w:eastAsia="宋体" w:cs="宋体"/>
          <w:b/>
          <w:bCs/>
          <w:sz w:val="48"/>
          <w:szCs w:val="48"/>
        </w:rPr>
        <w:t>关于鹏华科技创新混合型证券投资基金</w:t>
      </w:r>
      <w:r w:rsidR="003C723E" w:rsidRPr="003756EF">
        <w:rPr>
          <w:rFonts w:ascii="宋体" w:eastAsia="宋体" w:cs="宋体" w:hint="eastAsia"/>
          <w:b/>
          <w:bCs/>
          <w:sz w:val="48"/>
          <w:szCs w:val="48"/>
        </w:rPr>
        <w:t xml:space="preserve"> </w:t>
      </w:r>
      <w:r w:rsidR="006C617A" w:rsidRPr="003756EF">
        <w:rPr>
          <w:rFonts w:ascii="宋体" w:eastAsia="宋体" w:cs="宋体" w:hint="eastAsia"/>
          <w:b/>
          <w:bCs/>
          <w:sz w:val="48"/>
          <w:szCs w:val="48"/>
        </w:rPr>
        <w:t>2</w:t>
      </w:r>
      <w:r w:rsidR="006C617A" w:rsidRPr="003756EF">
        <w:rPr>
          <w:rFonts w:ascii="宋体" w:eastAsia="宋体" w:cs="宋体"/>
          <w:b/>
          <w:bCs/>
          <w:sz w:val="48"/>
          <w:szCs w:val="48"/>
        </w:rPr>
        <w:t>02</w:t>
      </w:r>
      <w:r w:rsidR="003C723E">
        <w:rPr>
          <w:rFonts w:ascii="宋体" w:eastAsia="宋体" w:cs="宋体"/>
          <w:b/>
          <w:bCs/>
          <w:sz w:val="48"/>
          <w:szCs w:val="48"/>
        </w:rPr>
        <w:t>6</w:t>
      </w:r>
      <w:r w:rsidR="006C617A" w:rsidRPr="003756EF">
        <w:rPr>
          <w:rFonts w:ascii="宋体" w:eastAsia="宋体" w:cs="宋体" w:hint="eastAsia"/>
          <w:b/>
          <w:bCs/>
          <w:sz w:val="48"/>
          <w:szCs w:val="48"/>
        </w:rPr>
        <w:t>年</w:t>
      </w:r>
      <w:r w:rsidR="005E584C" w:rsidRPr="003756EF">
        <w:rPr>
          <w:rFonts w:ascii="宋体" w:eastAsia="宋体" w:cs="宋体" w:hint="eastAsia"/>
          <w:b/>
          <w:bCs/>
          <w:sz w:val="48"/>
          <w:szCs w:val="48"/>
        </w:rPr>
        <w:t>非</w:t>
      </w:r>
      <w:r w:rsidR="005E584C" w:rsidRPr="003756EF">
        <w:rPr>
          <w:rFonts w:ascii="宋体" w:eastAsia="宋体" w:cs="宋体"/>
          <w:b/>
          <w:bCs/>
          <w:sz w:val="48"/>
          <w:szCs w:val="48"/>
        </w:rPr>
        <w:t>港股通交易日</w:t>
      </w:r>
      <w:r w:rsidRPr="003756EF">
        <w:rPr>
          <w:rFonts w:ascii="宋体" w:eastAsia="宋体" w:cs="宋体"/>
          <w:b/>
          <w:bCs/>
          <w:sz w:val="48"/>
          <w:szCs w:val="48"/>
        </w:rPr>
        <w:t>暂停申购、赎回、转换和定期定额投资业务的公告</w:t>
      </w:r>
    </w:p>
    <w:p w:rsidR="00E43ACD" w:rsidRPr="003756EF" w:rsidRDefault="00A744A2">
      <w:pPr>
        <w:widowControl w:val="0"/>
        <w:jc w:val="center"/>
        <w:rPr>
          <w:sz w:val="30"/>
          <w:szCs w:val="30"/>
        </w:rPr>
      </w:pPr>
      <w:r w:rsidRPr="003756EF">
        <w:rPr>
          <w:sz w:val="30"/>
          <w:szCs w:val="30"/>
        </w:rPr>
        <w:t> </w:t>
      </w:r>
    </w:p>
    <w:p w:rsidR="00E43ACD" w:rsidRPr="003756EF" w:rsidRDefault="00A744A2">
      <w:pPr>
        <w:widowControl w:val="0"/>
        <w:jc w:val="center"/>
        <w:rPr>
          <w:sz w:val="30"/>
          <w:szCs w:val="30"/>
        </w:rPr>
      </w:pPr>
      <w:r w:rsidRPr="003756EF">
        <w:rPr>
          <w:sz w:val="30"/>
          <w:szCs w:val="30"/>
        </w:rPr>
        <w:t> </w:t>
      </w:r>
    </w:p>
    <w:p w:rsidR="00E43ACD" w:rsidRPr="003756EF" w:rsidRDefault="00A744A2">
      <w:pPr>
        <w:widowControl w:val="0"/>
        <w:jc w:val="center"/>
        <w:rPr>
          <w:sz w:val="30"/>
          <w:szCs w:val="30"/>
        </w:rPr>
      </w:pPr>
      <w:r w:rsidRPr="003756EF">
        <w:rPr>
          <w:sz w:val="30"/>
          <w:szCs w:val="30"/>
        </w:rPr>
        <w:t> </w:t>
      </w:r>
    </w:p>
    <w:p w:rsidR="00E43ACD" w:rsidRPr="003756EF" w:rsidRDefault="00A744A2">
      <w:pPr>
        <w:widowControl w:val="0"/>
        <w:jc w:val="center"/>
        <w:rPr>
          <w:sz w:val="30"/>
          <w:szCs w:val="30"/>
        </w:rPr>
      </w:pPr>
      <w:r w:rsidRPr="003756EF">
        <w:rPr>
          <w:sz w:val="30"/>
          <w:szCs w:val="30"/>
        </w:rPr>
        <w:t> </w:t>
      </w:r>
    </w:p>
    <w:p w:rsidR="00E43ACD" w:rsidRPr="003756EF" w:rsidRDefault="00A744A2">
      <w:pPr>
        <w:widowControl w:val="0"/>
        <w:jc w:val="center"/>
        <w:rPr>
          <w:sz w:val="30"/>
          <w:szCs w:val="30"/>
        </w:rPr>
      </w:pPr>
      <w:r w:rsidRPr="003756EF">
        <w:rPr>
          <w:sz w:val="30"/>
          <w:szCs w:val="30"/>
        </w:rPr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 w:rsidP="00174406">
      <w:pPr>
        <w:widowControl w:val="0"/>
        <w:jc w:val="center"/>
        <w:rPr>
          <w:sz w:val="28"/>
          <w:szCs w:val="28"/>
        </w:rPr>
      </w:pPr>
      <w:bookmarkStart w:id="0" w:name="_GoBack"/>
      <w:r w:rsidRPr="003756EF">
        <w:rPr>
          <w:rFonts w:ascii="宋体" w:eastAsia="宋体" w:cs="宋体"/>
          <w:b/>
          <w:bCs/>
          <w:sz w:val="28"/>
          <w:szCs w:val="28"/>
        </w:rPr>
        <w:t>公告送出日期：202</w:t>
      </w:r>
      <w:r w:rsidR="003C723E">
        <w:rPr>
          <w:rFonts w:ascii="宋体" w:eastAsia="宋体" w:cs="宋体"/>
          <w:b/>
          <w:bCs/>
          <w:sz w:val="28"/>
          <w:szCs w:val="28"/>
        </w:rPr>
        <w:t>5</w:t>
      </w:r>
      <w:r w:rsidRPr="003756EF">
        <w:rPr>
          <w:rFonts w:ascii="宋体" w:eastAsia="宋体" w:cs="宋体"/>
          <w:b/>
          <w:bCs/>
          <w:sz w:val="28"/>
          <w:szCs w:val="28"/>
        </w:rPr>
        <w:t>年</w:t>
      </w:r>
      <w:r w:rsidR="005E584C" w:rsidRPr="003756EF">
        <w:rPr>
          <w:rFonts w:ascii="宋体" w:eastAsia="宋体" w:cs="宋体"/>
          <w:b/>
          <w:bCs/>
          <w:sz w:val="28"/>
          <w:szCs w:val="28"/>
        </w:rPr>
        <w:t>1</w:t>
      </w:r>
      <w:r w:rsidR="006C617A" w:rsidRPr="003756EF">
        <w:rPr>
          <w:rFonts w:ascii="宋体" w:eastAsia="宋体" w:cs="宋体"/>
          <w:b/>
          <w:bCs/>
          <w:sz w:val="28"/>
          <w:szCs w:val="28"/>
        </w:rPr>
        <w:t>2</w:t>
      </w:r>
      <w:r w:rsidRPr="003756EF">
        <w:rPr>
          <w:rFonts w:ascii="宋体" w:eastAsia="宋体" w:cs="宋体"/>
          <w:b/>
          <w:bCs/>
          <w:sz w:val="28"/>
          <w:szCs w:val="28"/>
        </w:rPr>
        <w:t>月</w:t>
      </w:r>
      <w:r w:rsidR="003C723E">
        <w:rPr>
          <w:rFonts w:ascii="宋体" w:eastAsia="宋体" w:cs="宋体"/>
          <w:b/>
          <w:bCs/>
          <w:sz w:val="28"/>
          <w:szCs w:val="28"/>
        </w:rPr>
        <w:t>31</w:t>
      </w:r>
      <w:r w:rsidRPr="003756EF">
        <w:rPr>
          <w:rFonts w:ascii="宋体" w:eastAsia="宋体" w:cs="宋体"/>
          <w:b/>
          <w:bCs/>
          <w:sz w:val="28"/>
          <w:szCs w:val="28"/>
        </w:rPr>
        <w:t>日</w:t>
      </w:r>
    </w:p>
    <w:bookmarkEnd w:id="0"/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widowControl w:val="0"/>
        <w:jc w:val="both"/>
      </w:pPr>
      <w:r w:rsidRPr="003756EF">
        <w:t> </w:t>
      </w:r>
    </w:p>
    <w:p w:rsidR="00E43ACD" w:rsidRPr="003756EF" w:rsidRDefault="00A744A2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3756EF">
        <w:rPr>
          <w:rFonts w:ascii="宋体" w:eastAsia="宋体" w:cs="宋体"/>
          <w:i w:val="0"/>
          <w:iCs w:val="0"/>
          <w:sz w:val="24"/>
          <w:szCs w:val="24"/>
        </w:rPr>
        <w:lastRenderedPageBreak/>
        <w:t>1公告基本信息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000"/>
      </w:tblPr>
      <w:tblGrid>
        <w:gridCol w:w="3284"/>
        <w:gridCol w:w="5012"/>
      </w:tblGrid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基金名称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鹏华科技创新混合型证券投资基金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基金简称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鹏华科技创新混合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基金主代码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008811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基金管理人名称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鹏华基金管理有限公司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公告依据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A744A2" w:rsidP="00F64309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《鹏华科技创新混合型证券投资基金基金合同》（以下简称“基金合同”）、《鹏华科技创新混合型证券投资基金招募说明书》及其更新（以下简称“招募说明书”）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 w:rsidP="005E584C">
            <w:pPr>
              <w:tabs>
                <w:tab w:val="right" w:pos="3068"/>
              </w:tabs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暂停申购起始日</w:t>
            </w:r>
            <w:r w:rsidR="005E584C"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ab/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3C723E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暂停赎回起始日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3C723E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暂停转换起始日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3C723E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暂停定期定额投资起始日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3C723E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034940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E43ACD" w:rsidRPr="003756EF" w:rsidTr="00250EA7"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暂停申购、赎回、转换和定期定额投资的原因说明</w:t>
            </w:r>
          </w:p>
        </w:tc>
        <w:tc>
          <w:tcPr>
            <w:tcW w:w="50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E43ACD" w:rsidRPr="003756EF" w:rsidRDefault="00A744A2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756EF">
              <w:rPr>
                <w:rFonts w:asciiTheme="minorEastAsia" w:eastAsiaTheme="minorEastAsia" w:hAnsiTheme="minorEastAsia" w:cs="宋体"/>
                <w:sz w:val="21"/>
                <w:szCs w:val="21"/>
              </w:rPr>
              <w:t>非港股通交易日</w:t>
            </w:r>
          </w:p>
        </w:tc>
      </w:tr>
    </w:tbl>
    <w:p w:rsidR="00E43ACD" w:rsidRPr="003756EF" w:rsidRDefault="00A744A2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3756EF">
        <w:rPr>
          <w:rFonts w:ascii="宋体" w:eastAsia="宋体" w:cs="宋体"/>
          <w:i w:val="0"/>
          <w:iCs w:val="0"/>
          <w:sz w:val="24"/>
          <w:szCs w:val="24"/>
        </w:rPr>
        <w:t>2其他需要提示的事项</w:t>
      </w:r>
    </w:p>
    <w:p w:rsidR="005E584C" w:rsidRPr="003756EF" w:rsidRDefault="00A744A2">
      <w:pPr>
        <w:widowControl w:val="0"/>
        <w:spacing w:line="360" w:lineRule="auto"/>
        <w:ind w:firstLine="420"/>
        <w:rPr>
          <w:rFonts w:asciiTheme="minorEastAsia" w:eastAsiaTheme="minorEastAsia" w:hAnsiTheme="minorEastAsia" w:cs="宋体"/>
          <w:sz w:val="21"/>
          <w:szCs w:val="21"/>
        </w:rPr>
      </w:pPr>
      <w:r w:rsidRPr="003756EF">
        <w:rPr>
          <w:rFonts w:asciiTheme="minorEastAsia" w:eastAsiaTheme="minorEastAsia" w:hAnsiTheme="minorEastAsia" w:cs="宋体"/>
          <w:sz w:val="21"/>
          <w:szCs w:val="21"/>
        </w:rPr>
        <w:t>根据鹏华科技创新混合型证券投资基金 （以下简称“本基金”）基金合同和招募说明书（更新）的有关约定，投资人在开放日办理基金份额的申购和赎回，具体办理时间为上海证券交易所、深圳证券交易所的正常交易日的交易时间，若该工作日为非港股通交易日，则本基金不开放。</w:t>
      </w:r>
    </w:p>
    <w:p w:rsidR="005E584C" w:rsidRPr="003756EF" w:rsidRDefault="005E584C" w:rsidP="005E584C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3756EF">
        <w:rPr>
          <w:rFonts w:asciiTheme="minorEastAsia" w:hAnsiTheme="minorEastAsia" w:cs="宋体" w:hint="eastAsia"/>
          <w:sz w:val="21"/>
          <w:szCs w:val="21"/>
        </w:rPr>
        <w:t>为了保障</w:t>
      </w:r>
      <w:r w:rsidRPr="003756EF">
        <w:rPr>
          <w:rFonts w:asciiTheme="minorEastAsia" w:hAnsiTheme="minorEastAsia" w:cs="宋体"/>
          <w:sz w:val="21"/>
          <w:szCs w:val="21"/>
        </w:rPr>
        <w:t>基金平稳运作，保护持有人利益，</w:t>
      </w:r>
      <w:r w:rsidRPr="003756EF">
        <w:rPr>
          <w:rFonts w:asciiTheme="minorEastAsia" w:hAnsiTheme="minorEastAsia" w:cs="宋体" w:hint="eastAsia"/>
          <w:sz w:val="21"/>
          <w:szCs w:val="21"/>
        </w:rPr>
        <w:t>鹏华基金管理有限公司决定于下述</w:t>
      </w:r>
      <w:r w:rsidR="006C617A" w:rsidRPr="003756EF">
        <w:rPr>
          <w:rFonts w:ascii="宋体" w:eastAsia="宋体" w:hAnsi="宋体" w:cs="宋体" w:hint="eastAsia"/>
          <w:sz w:val="21"/>
          <w:szCs w:val="21"/>
        </w:rPr>
        <w:t>2</w:t>
      </w:r>
      <w:r w:rsidR="006C617A" w:rsidRPr="003756EF">
        <w:rPr>
          <w:rFonts w:ascii="宋体" w:eastAsia="宋体" w:hAnsi="宋体" w:cs="宋体"/>
          <w:sz w:val="21"/>
          <w:szCs w:val="21"/>
        </w:rPr>
        <w:t>02</w:t>
      </w:r>
      <w:r w:rsidR="003C723E">
        <w:rPr>
          <w:rFonts w:ascii="宋体" w:eastAsia="宋体" w:hAnsi="宋体" w:cs="宋体"/>
          <w:sz w:val="21"/>
          <w:szCs w:val="21"/>
        </w:rPr>
        <w:t>6</w:t>
      </w:r>
      <w:r w:rsidR="006C617A" w:rsidRPr="003756EF">
        <w:rPr>
          <w:rFonts w:ascii="宋体" w:eastAsia="宋体" w:hAnsi="宋体" w:cs="宋体" w:hint="eastAsia"/>
          <w:sz w:val="21"/>
          <w:szCs w:val="21"/>
        </w:rPr>
        <w:t>年非港股通交易日暂停办理本基金的申购、赎回、转换和定期定额投资业务，并自港股通恢复服务之日起恢复办理本基金的上述业务。</w:t>
      </w:r>
    </w:p>
    <w:tbl>
      <w:tblPr>
        <w:tblStyle w:val="a6"/>
        <w:tblW w:w="0" w:type="auto"/>
        <w:jc w:val="center"/>
        <w:tblLook w:val="04A0"/>
      </w:tblPr>
      <w:tblGrid>
        <w:gridCol w:w="4077"/>
      </w:tblGrid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非港股通交易日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2026年4月3日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2026年4月7日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2026年5月25日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2026年7月1日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2026年10月19日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2026年12月24日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2026年12月25日</w:t>
            </w:r>
          </w:p>
        </w:tc>
      </w:tr>
      <w:tr w:rsidR="009A15ED" w:rsidTr="009A15ED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ED" w:rsidRDefault="009A15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2026年12月31日</w:t>
            </w:r>
          </w:p>
        </w:tc>
      </w:tr>
    </w:tbl>
    <w:p w:rsidR="00D63B72" w:rsidRPr="003756EF" w:rsidRDefault="005E584C" w:rsidP="000F437B">
      <w:pPr>
        <w:widowControl w:val="0"/>
        <w:spacing w:beforeLines="100"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3756EF">
        <w:rPr>
          <w:rFonts w:asciiTheme="minorEastAsia" w:hAnsiTheme="minorEastAsia" w:cs="宋体" w:hint="eastAsia"/>
          <w:sz w:val="21"/>
          <w:szCs w:val="21"/>
        </w:rPr>
        <w:t>若</w:t>
      </w:r>
      <w:r w:rsidR="00D63B72" w:rsidRPr="003756EF">
        <w:rPr>
          <w:rFonts w:asciiTheme="minorEastAsia" w:hAnsiTheme="minorEastAsia" w:cs="宋体" w:hint="eastAsia"/>
          <w:sz w:val="21"/>
          <w:szCs w:val="21"/>
        </w:rPr>
        <w:t>非港股通交易日安排发生变化，本基金管理人将进行相应调整并公告。若本基金投资所处的市场状况发生变化，或将来根据法律法规和基金合同的约定需要调整上述安排的，本基金管理人将另行调整并公告。如遇本基金因其他原因暂停申购、赎回等业务的，具体业务办理以相关公告为准。</w:t>
      </w:r>
    </w:p>
    <w:p w:rsidR="005E584C" w:rsidRPr="003756EF" w:rsidRDefault="005E584C" w:rsidP="005E584C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3756EF">
        <w:rPr>
          <w:rFonts w:asciiTheme="minorEastAsia" w:hAnsiTheme="minorEastAsia" w:cs="宋体"/>
          <w:sz w:val="21"/>
          <w:szCs w:val="21"/>
        </w:rPr>
        <w:lastRenderedPageBreak/>
        <w:t>投资者可登录本基金管理人网站（www.phfund.com.cn），或拨打客户服务电话（400-6788-533）咨询相关信息。</w:t>
      </w:r>
    </w:p>
    <w:p w:rsidR="00E43ACD" w:rsidRPr="003756EF" w:rsidRDefault="00A744A2">
      <w:pPr>
        <w:widowControl w:val="0"/>
        <w:spacing w:line="360" w:lineRule="auto"/>
        <w:ind w:firstLine="420"/>
        <w:rPr>
          <w:rFonts w:asciiTheme="minorEastAsia" w:eastAsiaTheme="minorEastAsia" w:hAnsiTheme="minorEastAsia" w:cs="宋体"/>
          <w:sz w:val="21"/>
          <w:szCs w:val="21"/>
        </w:rPr>
      </w:pPr>
      <w:r w:rsidRPr="003756EF">
        <w:rPr>
          <w:rFonts w:asciiTheme="minorEastAsia" w:eastAsiaTheme="minorEastAsia" w:hAnsiTheme="minorEastAsia" w:cs="宋体"/>
          <w:sz w:val="21"/>
          <w:szCs w:val="21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。</w:t>
      </w:r>
    </w:p>
    <w:p w:rsidR="00E43ACD" w:rsidRPr="003756EF" w:rsidRDefault="00A744A2">
      <w:pPr>
        <w:widowControl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3756EF">
        <w:rPr>
          <w:rFonts w:asciiTheme="minorEastAsia" w:eastAsiaTheme="minorEastAsia" w:hAnsiTheme="minorEastAsia" w:cs="宋体"/>
          <w:sz w:val="21"/>
          <w:szCs w:val="21"/>
        </w:rPr>
        <w:t>特此公告。</w:t>
      </w:r>
    </w:p>
    <w:p w:rsidR="00E43ACD" w:rsidRPr="003756EF" w:rsidRDefault="00A744A2">
      <w:pPr>
        <w:widowControl w:val="0"/>
        <w:spacing w:line="336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3756EF">
        <w:rPr>
          <w:rFonts w:asciiTheme="minorEastAsia" w:eastAsiaTheme="minorEastAsia" w:hAnsiTheme="minorEastAsia" w:cs="宋体"/>
          <w:sz w:val="21"/>
          <w:szCs w:val="21"/>
        </w:rPr>
        <w:t>鹏华基金管理有限公司</w:t>
      </w:r>
    </w:p>
    <w:p w:rsidR="00E43ACD" w:rsidRPr="00250EA7" w:rsidRDefault="00A744A2">
      <w:pPr>
        <w:widowControl w:val="0"/>
        <w:spacing w:line="336" w:lineRule="auto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3756EF">
        <w:rPr>
          <w:rFonts w:asciiTheme="minorEastAsia" w:eastAsiaTheme="minorEastAsia" w:hAnsiTheme="minorEastAsia" w:cs="宋体"/>
          <w:sz w:val="21"/>
          <w:szCs w:val="21"/>
        </w:rPr>
        <w:t>202</w:t>
      </w:r>
      <w:r w:rsidR="003C723E">
        <w:rPr>
          <w:rFonts w:asciiTheme="minorEastAsia" w:eastAsiaTheme="minorEastAsia" w:hAnsiTheme="minorEastAsia" w:cs="宋体"/>
          <w:sz w:val="21"/>
          <w:szCs w:val="21"/>
        </w:rPr>
        <w:t>5</w:t>
      </w:r>
      <w:r w:rsidRPr="003756EF">
        <w:rPr>
          <w:rFonts w:asciiTheme="minorEastAsia" w:eastAsiaTheme="minorEastAsia" w:hAnsiTheme="minorEastAsia" w:cs="宋体"/>
          <w:sz w:val="21"/>
          <w:szCs w:val="21"/>
        </w:rPr>
        <w:t>年1</w:t>
      </w:r>
      <w:r w:rsidR="006C617A" w:rsidRPr="003756EF">
        <w:rPr>
          <w:rFonts w:asciiTheme="minorEastAsia" w:eastAsiaTheme="minorEastAsia" w:hAnsiTheme="minorEastAsia" w:cs="宋体"/>
          <w:sz w:val="21"/>
          <w:szCs w:val="21"/>
        </w:rPr>
        <w:t>2</w:t>
      </w:r>
      <w:r w:rsidRPr="003756EF">
        <w:rPr>
          <w:rFonts w:asciiTheme="minorEastAsia" w:eastAsiaTheme="minorEastAsia" w:hAnsiTheme="minorEastAsia" w:cs="宋体"/>
          <w:sz w:val="21"/>
          <w:szCs w:val="21"/>
        </w:rPr>
        <w:t>月</w:t>
      </w:r>
      <w:r w:rsidR="003C723E">
        <w:rPr>
          <w:rFonts w:asciiTheme="minorEastAsia" w:eastAsiaTheme="minorEastAsia" w:hAnsiTheme="minorEastAsia" w:cs="宋体"/>
          <w:sz w:val="21"/>
          <w:szCs w:val="21"/>
        </w:rPr>
        <w:t>31</w:t>
      </w:r>
      <w:r w:rsidRPr="003756EF">
        <w:rPr>
          <w:rFonts w:asciiTheme="minorEastAsia" w:eastAsiaTheme="minorEastAsia" w:hAnsiTheme="minorEastAsia" w:cs="宋体"/>
          <w:sz w:val="21"/>
          <w:szCs w:val="21"/>
        </w:rPr>
        <w:t>日</w:t>
      </w:r>
    </w:p>
    <w:p w:rsidR="00E43ACD" w:rsidRPr="00250EA7" w:rsidRDefault="00A744A2">
      <w:pPr>
        <w:rPr>
          <w:rFonts w:asciiTheme="minorEastAsia" w:eastAsiaTheme="minorEastAsia" w:hAnsiTheme="minorEastAsia"/>
        </w:rPr>
      </w:pPr>
      <w:r w:rsidRPr="00250EA7">
        <w:rPr>
          <w:rFonts w:asciiTheme="minorEastAsia" w:eastAsiaTheme="minorEastAsia" w:hAnsiTheme="minorEastAsia"/>
        </w:rPr>
        <w:t> </w:t>
      </w:r>
    </w:p>
    <w:p w:rsidR="00E43ACD" w:rsidRPr="00250EA7" w:rsidRDefault="00E43ACD">
      <w:pPr>
        <w:rPr>
          <w:rFonts w:asciiTheme="minorEastAsia" w:eastAsiaTheme="minorEastAsia" w:hAnsiTheme="minorEastAsia"/>
        </w:rPr>
      </w:pPr>
    </w:p>
    <w:sectPr w:rsidR="00E43ACD" w:rsidRPr="00250EA7" w:rsidSect="00157445">
      <w:footerReference w:type="default" r:id="rId7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2D" w:rsidRDefault="00E57D2D">
      <w:r>
        <w:separator/>
      </w:r>
    </w:p>
  </w:endnote>
  <w:endnote w:type="continuationSeparator" w:id="0">
    <w:p w:rsidR="00E57D2D" w:rsidRDefault="00E57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CD" w:rsidRDefault="00157445">
    <w:pPr>
      <w:jc w:val="center"/>
    </w:pPr>
    <w:r>
      <w:rPr>
        <w:rFonts w:ascii="宋体" w:eastAsia="宋体" w:cs="宋体"/>
        <w:sz w:val="18"/>
      </w:rPr>
      <w:fldChar w:fldCharType="begin"/>
    </w:r>
    <w:r w:rsidR="00A744A2">
      <w:rPr>
        <w:rFonts w:ascii="宋体" w:eastAsia="宋体" w:cs="宋体"/>
        <w:sz w:val="18"/>
      </w:rPr>
      <w:instrText xml:space="preserve"> PAGE </w:instrText>
    </w:r>
    <w:r>
      <w:rPr>
        <w:rFonts w:ascii="宋体" w:eastAsia="宋体" w:cs="宋体"/>
        <w:sz w:val="18"/>
      </w:rPr>
      <w:fldChar w:fldCharType="separate"/>
    </w:r>
    <w:r w:rsidR="000F437B">
      <w:rPr>
        <w:rFonts w:ascii="宋体" w:eastAsia="宋体" w:cs="宋体"/>
        <w:noProof/>
        <w:sz w:val="18"/>
      </w:rPr>
      <w:t>1</w:t>
    </w:r>
    <w:r>
      <w:rPr>
        <w:rFonts w:ascii="宋体" w:eastAsia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2D" w:rsidRDefault="00E57D2D">
      <w:r>
        <w:separator/>
      </w:r>
    </w:p>
  </w:footnote>
  <w:footnote w:type="continuationSeparator" w:id="0">
    <w:p w:rsidR="00E57D2D" w:rsidRDefault="00E57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63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</w:compat>
  <w:rsids>
    <w:rsidRoot w:val="00E43ACD"/>
    <w:rsid w:val="00034940"/>
    <w:rsid w:val="000F437B"/>
    <w:rsid w:val="00157445"/>
    <w:rsid w:val="00174406"/>
    <w:rsid w:val="001F6A2D"/>
    <w:rsid w:val="00226422"/>
    <w:rsid w:val="00250EA7"/>
    <w:rsid w:val="002E4DDF"/>
    <w:rsid w:val="003756EF"/>
    <w:rsid w:val="003C723E"/>
    <w:rsid w:val="004C66EB"/>
    <w:rsid w:val="00546A66"/>
    <w:rsid w:val="00575D3C"/>
    <w:rsid w:val="00580CDB"/>
    <w:rsid w:val="005E584C"/>
    <w:rsid w:val="006C617A"/>
    <w:rsid w:val="007B3127"/>
    <w:rsid w:val="00851715"/>
    <w:rsid w:val="0087281A"/>
    <w:rsid w:val="008E4707"/>
    <w:rsid w:val="00966CEA"/>
    <w:rsid w:val="009A15ED"/>
    <w:rsid w:val="00A32274"/>
    <w:rsid w:val="00A744A2"/>
    <w:rsid w:val="00C40C44"/>
    <w:rsid w:val="00D06AFD"/>
    <w:rsid w:val="00D63B72"/>
    <w:rsid w:val="00E26875"/>
    <w:rsid w:val="00E43ACD"/>
    <w:rsid w:val="00E57D2D"/>
    <w:rsid w:val="00EA54C7"/>
    <w:rsid w:val="00F6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445"/>
    <w:rPr>
      <w:rFonts w:eastAsia="Times New Roman"/>
      <w:sz w:val="24"/>
      <w:szCs w:val="24"/>
    </w:rPr>
  </w:style>
  <w:style w:type="paragraph" w:styleId="1">
    <w:name w:val="heading 1"/>
    <w:basedOn w:val="a"/>
    <w:next w:val="a"/>
    <w:rsid w:val="00157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157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15744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157445"/>
    <w:pPr>
      <w:spacing w:line="360" w:lineRule="auto"/>
    </w:pPr>
    <w:rPr>
      <w:rFonts w:ascii="宋体" w:eastAsia="宋体" w:cs="宋体"/>
      <w:b/>
      <w:sz w:val="21"/>
    </w:rPr>
  </w:style>
  <w:style w:type="paragraph" w:styleId="20">
    <w:name w:val="toc 2"/>
    <w:basedOn w:val="a"/>
    <w:next w:val="a"/>
    <w:autoRedefine/>
    <w:rsid w:val="00157445"/>
    <w:pPr>
      <w:ind w:left="420"/>
    </w:pPr>
  </w:style>
  <w:style w:type="paragraph" w:styleId="30">
    <w:name w:val="toc 3"/>
    <w:basedOn w:val="a"/>
    <w:next w:val="a"/>
    <w:autoRedefine/>
    <w:rsid w:val="00157445"/>
    <w:pPr>
      <w:ind w:left="840"/>
    </w:pPr>
  </w:style>
  <w:style w:type="paragraph" w:styleId="4">
    <w:name w:val="toc 4"/>
    <w:basedOn w:val="a"/>
    <w:next w:val="a"/>
    <w:autoRedefine/>
    <w:rsid w:val="00157445"/>
    <w:pPr>
      <w:ind w:left="1260"/>
    </w:pPr>
  </w:style>
  <w:style w:type="paragraph" w:styleId="5">
    <w:name w:val="toc 5"/>
    <w:basedOn w:val="a"/>
    <w:next w:val="a"/>
    <w:autoRedefine/>
    <w:rsid w:val="00157445"/>
    <w:pPr>
      <w:ind w:left="1680"/>
    </w:pPr>
  </w:style>
  <w:style w:type="paragraph" w:styleId="a3">
    <w:name w:val="header"/>
    <w:basedOn w:val="a"/>
    <w:rsid w:val="00157445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157445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2E4D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4DDF"/>
    <w:rPr>
      <w:rFonts w:eastAsia="Times New Roman"/>
      <w:sz w:val="18"/>
      <w:szCs w:val="18"/>
    </w:rPr>
  </w:style>
  <w:style w:type="table" w:styleId="a6">
    <w:name w:val="Table Grid"/>
    <w:basedOn w:val="a1"/>
    <w:rsid w:val="005E584C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0E75-9BFC-440F-8015-E1C41003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1033</Characters>
  <Application>Microsoft Office Word</Application>
  <DocSecurity>4</DocSecurity>
  <Lines>8</Lines>
  <Paragraphs>2</Paragraphs>
  <ScaleCrop>false</ScaleCrop>
  <Company>PHFUND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缪莉芳</dc:creator>
  <cp:lastModifiedBy>ZHONGM</cp:lastModifiedBy>
  <cp:revision>2</cp:revision>
  <cp:lastPrinted>2024-01-30T02:51:00Z</cp:lastPrinted>
  <dcterms:created xsi:type="dcterms:W3CDTF">2025-12-30T16:04:00Z</dcterms:created>
  <dcterms:modified xsi:type="dcterms:W3CDTF">2025-12-30T16:04:00Z</dcterms:modified>
</cp:coreProperties>
</file>