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28" w:rsidRDefault="00D12220">
      <w:pPr>
        <w:widowControl w:val="0"/>
        <w:jc w:val="both"/>
      </w:pPr>
      <w:r>
        <w:t> </w:t>
      </w:r>
    </w:p>
    <w:p w:rsidR="00B22628" w:rsidRDefault="00D12220">
      <w:pPr>
        <w:widowControl w:val="0"/>
        <w:jc w:val="both"/>
      </w:pPr>
      <w:r>
        <w:t> </w:t>
      </w:r>
    </w:p>
    <w:p w:rsidR="00B22628" w:rsidRDefault="00D12220">
      <w:pPr>
        <w:widowControl w:val="0"/>
        <w:jc w:val="both"/>
      </w:pPr>
      <w:r>
        <w:t> </w:t>
      </w:r>
    </w:p>
    <w:p w:rsidR="00B22628" w:rsidRDefault="00D12220">
      <w:pPr>
        <w:widowControl w:val="0"/>
        <w:jc w:val="both"/>
      </w:pPr>
      <w:r>
        <w:t> </w:t>
      </w:r>
    </w:p>
    <w:p w:rsidR="00B22628" w:rsidRPr="00845535" w:rsidRDefault="00D12220">
      <w:pPr>
        <w:widowControl w:val="0"/>
        <w:jc w:val="center"/>
        <w:rPr>
          <w:sz w:val="48"/>
          <w:szCs w:val="48"/>
        </w:rPr>
      </w:pPr>
      <w:r w:rsidRPr="00845535">
        <w:rPr>
          <w:rFonts w:ascii="宋体" w:eastAsia="宋体" w:cs="宋体"/>
          <w:b/>
          <w:bCs/>
          <w:sz w:val="48"/>
          <w:szCs w:val="48"/>
        </w:rPr>
        <w:t>关于鹏华价值驱动混合型证券投资基金</w:t>
      </w:r>
      <w:r w:rsidR="00F04F6F" w:rsidRPr="00845535">
        <w:rPr>
          <w:rFonts w:ascii="宋体" w:eastAsia="宋体" w:cs="宋体" w:hint="eastAsia"/>
          <w:b/>
          <w:bCs/>
          <w:sz w:val="48"/>
          <w:szCs w:val="48"/>
        </w:rPr>
        <w:t>2</w:t>
      </w:r>
      <w:r w:rsidR="00F04F6F" w:rsidRPr="00845535">
        <w:rPr>
          <w:rFonts w:ascii="宋体" w:eastAsia="宋体" w:cs="宋体"/>
          <w:b/>
          <w:bCs/>
          <w:sz w:val="48"/>
          <w:szCs w:val="48"/>
        </w:rPr>
        <w:t>02</w:t>
      </w:r>
      <w:r w:rsidR="0038540F">
        <w:rPr>
          <w:rFonts w:ascii="宋体" w:eastAsia="宋体" w:cs="宋体"/>
          <w:b/>
          <w:bCs/>
          <w:sz w:val="48"/>
          <w:szCs w:val="48"/>
        </w:rPr>
        <w:t>6</w:t>
      </w:r>
      <w:r w:rsidR="00F04F6F" w:rsidRPr="00845535">
        <w:rPr>
          <w:rFonts w:ascii="宋体" w:eastAsia="宋体" w:cs="宋体" w:hint="eastAsia"/>
          <w:b/>
          <w:bCs/>
          <w:sz w:val="48"/>
          <w:szCs w:val="48"/>
        </w:rPr>
        <w:t>年</w:t>
      </w:r>
      <w:r w:rsidR="00F64D9E" w:rsidRPr="00845535">
        <w:rPr>
          <w:rFonts w:ascii="宋体" w:eastAsia="宋体" w:cs="宋体" w:hint="eastAsia"/>
          <w:b/>
          <w:bCs/>
          <w:sz w:val="48"/>
          <w:szCs w:val="48"/>
        </w:rPr>
        <w:t>非港股通交易日</w:t>
      </w:r>
      <w:r w:rsidRPr="00845535">
        <w:rPr>
          <w:rFonts w:ascii="宋体" w:eastAsia="宋体" w:cs="宋体"/>
          <w:b/>
          <w:bCs/>
          <w:sz w:val="48"/>
          <w:szCs w:val="48"/>
        </w:rPr>
        <w:t>暂停申购、赎回、转换和定期定额投资业务的公告</w:t>
      </w:r>
    </w:p>
    <w:p w:rsidR="00B22628" w:rsidRPr="00845535" w:rsidRDefault="00D12220">
      <w:pPr>
        <w:widowControl w:val="0"/>
        <w:jc w:val="center"/>
        <w:rPr>
          <w:sz w:val="30"/>
          <w:szCs w:val="30"/>
        </w:rPr>
      </w:pPr>
      <w:r w:rsidRPr="00845535">
        <w:rPr>
          <w:sz w:val="30"/>
          <w:szCs w:val="30"/>
        </w:rPr>
        <w:t> </w:t>
      </w:r>
    </w:p>
    <w:p w:rsidR="00B22628" w:rsidRPr="00845535" w:rsidRDefault="00D12220">
      <w:pPr>
        <w:widowControl w:val="0"/>
        <w:jc w:val="center"/>
        <w:rPr>
          <w:sz w:val="30"/>
          <w:szCs w:val="30"/>
        </w:rPr>
      </w:pPr>
      <w:r w:rsidRPr="00845535">
        <w:rPr>
          <w:sz w:val="30"/>
          <w:szCs w:val="30"/>
        </w:rPr>
        <w:t> </w:t>
      </w:r>
    </w:p>
    <w:p w:rsidR="00B22628" w:rsidRPr="00845535" w:rsidRDefault="00D12220">
      <w:pPr>
        <w:widowControl w:val="0"/>
        <w:jc w:val="center"/>
        <w:rPr>
          <w:sz w:val="30"/>
          <w:szCs w:val="30"/>
        </w:rPr>
      </w:pPr>
      <w:r w:rsidRPr="00845535">
        <w:rPr>
          <w:sz w:val="30"/>
          <w:szCs w:val="30"/>
        </w:rPr>
        <w:t> </w:t>
      </w:r>
    </w:p>
    <w:p w:rsidR="00B22628" w:rsidRPr="00845535" w:rsidRDefault="00D12220">
      <w:pPr>
        <w:widowControl w:val="0"/>
        <w:jc w:val="center"/>
        <w:rPr>
          <w:sz w:val="30"/>
          <w:szCs w:val="30"/>
        </w:rPr>
      </w:pPr>
      <w:r w:rsidRPr="00845535">
        <w:rPr>
          <w:sz w:val="30"/>
          <w:szCs w:val="30"/>
        </w:rPr>
        <w:t> </w:t>
      </w:r>
    </w:p>
    <w:p w:rsidR="00B22628" w:rsidRPr="00845535" w:rsidRDefault="00D12220">
      <w:pPr>
        <w:widowControl w:val="0"/>
        <w:jc w:val="center"/>
        <w:rPr>
          <w:sz w:val="30"/>
          <w:szCs w:val="30"/>
        </w:rPr>
      </w:pPr>
      <w:r w:rsidRPr="00845535">
        <w:rPr>
          <w:sz w:val="30"/>
          <w:szCs w:val="30"/>
        </w:rPr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 w:rsidP="00570BE9">
      <w:pPr>
        <w:widowControl w:val="0"/>
        <w:jc w:val="center"/>
        <w:rPr>
          <w:sz w:val="28"/>
          <w:szCs w:val="28"/>
        </w:rPr>
      </w:pPr>
      <w:bookmarkStart w:id="0" w:name="_GoBack"/>
      <w:r w:rsidRPr="00845535">
        <w:rPr>
          <w:rFonts w:ascii="宋体" w:eastAsia="宋体" w:cs="宋体"/>
          <w:b/>
          <w:bCs/>
          <w:sz w:val="28"/>
          <w:szCs w:val="28"/>
        </w:rPr>
        <w:t>公告送出日期：202</w:t>
      </w:r>
      <w:r w:rsidR="0038540F">
        <w:rPr>
          <w:rFonts w:ascii="宋体" w:eastAsia="宋体" w:cs="宋体"/>
          <w:b/>
          <w:bCs/>
          <w:sz w:val="28"/>
          <w:szCs w:val="28"/>
        </w:rPr>
        <w:t>5</w:t>
      </w:r>
      <w:r w:rsidRPr="00845535">
        <w:rPr>
          <w:rFonts w:ascii="宋体" w:eastAsia="宋体" w:cs="宋体"/>
          <w:b/>
          <w:bCs/>
          <w:sz w:val="28"/>
          <w:szCs w:val="28"/>
        </w:rPr>
        <w:t>年1</w:t>
      </w:r>
      <w:r w:rsidR="00F04F6F" w:rsidRPr="00845535">
        <w:rPr>
          <w:rFonts w:ascii="宋体" w:eastAsia="宋体" w:cs="宋体"/>
          <w:b/>
          <w:bCs/>
          <w:sz w:val="28"/>
          <w:szCs w:val="28"/>
        </w:rPr>
        <w:t>2</w:t>
      </w:r>
      <w:r w:rsidRPr="00845535">
        <w:rPr>
          <w:rFonts w:ascii="宋体" w:eastAsia="宋体" w:cs="宋体"/>
          <w:b/>
          <w:bCs/>
          <w:sz w:val="28"/>
          <w:szCs w:val="28"/>
        </w:rPr>
        <w:t>月</w:t>
      </w:r>
      <w:r w:rsidR="0038540F">
        <w:rPr>
          <w:rFonts w:ascii="宋体" w:eastAsia="宋体" w:cs="宋体"/>
          <w:b/>
          <w:bCs/>
          <w:sz w:val="28"/>
          <w:szCs w:val="28"/>
        </w:rPr>
        <w:t>31</w:t>
      </w:r>
      <w:r w:rsidRPr="00845535">
        <w:rPr>
          <w:rFonts w:ascii="宋体" w:eastAsia="宋体" w:cs="宋体"/>
          <w:b/>
          <w:bCs/>
          <w:sz w:val="28"/>
          <w:szCs w:val="28"/>
        </w:rPr>
        <w:t>日</w:t>
      </w:r>
    </w:p>
    <w:bookmarkEnd w:id="0"/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widowControl w:val="0"/>
        <w:jc w:val="both"/>
      </w:pPr>
      <w:r w:rsidRPr="00845535">
        <w:t> </w:t>
      </w:r>
    </w:p>
    <w:p w:rsidR="00B22628" w:rsidRPr="00845535" w:rsidRDefault="00D12220">
      <w:pPr>
        <w:pStyle w:val="2"/>
        <w:keepLines/>
        <w:widowControl w:val="0"/>
        <w:spacing w:before="156" w:after="156"/>
        <w:rPr>
          <w:rFonts w:ascii="Times New Roman" w:hAnsi="Times New Roman" w:cs="Times New Roman"/>
        </w:rPr>
      </w:pPr>
      <w:r w:rsidRPr="00845535">
        <w:rPr>
          <w:rFonts w:ascii="宋体" w:eastAsia="宋体" w:cs="宋体"/>
          <w:i w:val="0"/>
          <w:iCs w:val="0"/>
          <w:sz w:val="24"/>
          <w:szCs w:val="24"/>
        </w:rPr>
        <w:lastRenderedPageBreak/>
        <w:t>1公告基本信息</w:t>
      </w:r>
    </w:p>
    <w:tbl>
      <w:tblPr>
        <w:tblW w:w="0" w:type="auto"/>
        <w:tblInd w:w="226" w:type="dxa"/>
        <w:tblCellMar>
          <w:left w:w="0" w:type="dxa"/>
          <w:right w:w="0" w:type="dxa"/>
        </w:tblCellMar>
        <w:tblLook w:val="0000"/>
      </w:tblPr>
      <w:tblGrid>
        <w:gridCol w:w="3089"/>
        <w:gridCol w:w="5207"/>
      </w:tblGrid>
      <w:tr w:rsidR="00B22628" w:rsidRPr="00845535" w:rsidTr="00F04F6F"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B22628" w:rsidRPr="00845535" w:rsidRDefault="00D12220" w:rsidP="00833728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45535">
              <w:rPr>
                <w:rFonts w:asciiTheme="minorEastAsia" w:eastAsiaTheme="minorEastAsia" w:hAnsiTheme="minorEastAsia" w:cs="宋体"/>
                <w:sz w:val="21"/>
                <w:szCs w:val="21"/>
              </w:rPr>
              <w:t>基金名称</w:t>
            </w:r>
          </w:p>
        </w:tc>
        <w:tc>
          <w:tcPr>
            <w:tcW w:w="52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B22628" w:rsidRPr="00845535" w:rsidRDefault="00D12220" w:rsidP="00833728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bookmarkStart w:id="1" w:name="t_3_1_1_0009_a1_fm1"/>
            <w:r w:rsidRPr="00845535">
              <w:rPr>
                <w:rFonts w:asciiTheme="minorEastAsia" w:eastAsiaTheme="minorEastAsia" w:hAnsiTheme="minorEastAsia" w:cs="宋体"/>
                <w:sz w:val="21"/>
                <w:szCs w:val="21"/>
              </w:rPr>
              <w:t>鹏华价值驱动混合型证券投资基金</w:t>
            </w:r>
          </w:p>
        </w:tc>
      </w:tr>
      <w:tr w:rsidR="00B22628" w:rsidRPr="00845535" w:rsidTr="00F04F6F"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B22628" w:rsidRPr="00845535" w:rsidRDefault="00D12220" w:rsidP="00833728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45535">
              <w:rPr>
                <w:rFonts w:asciiTheme="minorEastAsia" w:eastAsiaTheme="minorEastAsia" w:hAnsiTheme="minorEastAsia" w:cs="宋体"/>
                <w:sz w:val="21"/>
                <w:szCs w:val="21"/>
              </w:rPr>
              <w:t>基金简称</w:t>
            </w:r>
          </w:p>
        </w:tc>
        <w:tc>
          <w:tcPr>
            <w:tcW w:w="52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B22628" w:rsidRPr="00845535" w:rsidRDefault="00D12220" w:rsidP="00833728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45535">
              <w:rPr>
                <w:rFonts w:asciiTheme="minorEastAsia" w:eastAsiaTheme="minorEastAsia" w:hAnsiTheme="minorEastAsia" w:cs="宋体"/>
                <w:sz w:val="21"/>
                <w:szCs w:val="21"/>
              </w:rPr>
              <w:t>鹏华价值驱动混合</w:t>
            </w:r>
          </w:p>
        </w:tc>
      </w:tr>
      <w:tr w:rsidR="00B22628" w:rsidRPr="00845535" w:rsidTr="00F04F6F"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B22628" w:rsidRPr="00845535" w:rsidRDefault="00D12220" w:rsidP="00833728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45535">
              <w:rPr>
                <w:rFonts w:asciiTheme="minorEastAsia" w:eastAsiaTheme="minorEastAsia" w:hAnsiTheme="minorEastAsia" w:cs="宋体"/>
                <w:sz w:val="21"/>
                <w:szCs w:val="21"/>
              </w:rPr>
              <w:t>基金主代码</w:t>
            </w:r>
          </w:p>
        </w:tc>
        <w:tc>
          <w:tcPr>
            <w:tcW w:w="52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B22628" w:rsidRPr="00845535" w:rsidRDefault="00D12220" w:rsidP="00833728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45535">
              <w:rPr>
                <w:rFonts w:asciiTheme="minorEastAsia" w:eastAsiaTheme="minorEastAsia" w:hAnsiTheme="minorEastAsia" w:cs="宋体"/>
                <w:sz w:val="21"/>
                <w:szCs w:val="21"/>
              </w:rPr>
              <w:t>008132</w:t>
            </w:r>
          </w:p>
        </w:tc>
      </w:tr>
      <w:tr w:rsidR="00B22628" w:rsidRPr="00845535" w:rsidTr="00F04F6F"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B22628" w:rsidRPr="00845535" w:rsidRDefault="00D12220" w:rsidP="00833728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45535">
              <w:rPr>
                <w:rFonts w:asciiTheme="minorEastAsia" w:eastAsiaTheme="minorEastAsia" w:hAnsiTheme="minorEastAsia" w:cs="宋体"/>
                <w:sz w:val="21"/>
                <w:szCs w:val="21"/>
              </w:rPr>
              <w:t>基金管理人名称</w:t>
            </w:r>
          </w:p>
        </w:tc>
        <w:tc>
          <w:tcPr>
            <w:tcW w:w="52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B22628" w:rsidRPr="00845535" w:rsidRDefault="00D12220" w:rsidP="00833728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45535">
              <w:rPr>
                <w:rFonts w:asciiTheme="minorEastAsia" w:eastAsiaTheme="minorEastAsia" w:hAnsiTheme="minorEastAsia" w:cs="宋体"/>
                <w:sz w:val="21"/>
                <w:szCs w:val="21"/>
              </w:rPr>
              <w:t>鹏华基金管理有限公司</w:t>
            </w:r>
          </w:p>
        </w:tc>
      </w:tr>
      <w:tr w:rsidR="00B22628" w:rsidRPr="00845535" w:rsidTr="00F04F6F"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B22628" w:rsidRPr="00845535" w:rsidRDefault="00D12220" w:rsidP="00833728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45535">
              <w:rPr>
                <w:rFonts w:asciiTheme="minorEastAsia" w:eastAsiaTheme="minorEastAsia" w:hAnsiTheme="minorEastAsia" w:cs="宋体"/>
                <w:sz w:val="21"/>
                <w:szCs w:val="21"/>
              </w:rPr>
              <w:t>公告依据</w:t>
            </w:r>
          </w:p>
        </w:tc>
        <w:tc>
          <w:tcPr>
            <w:tcW w:w="52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B22628" w:rsidRPr="00845535" w:rsidRDefault="00D12220" w:rsidP="00833728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45535">
              <w:rPr>
                <w:rFonts w:asciiTheme="minorEastAsia" w:eastAsiaTheme="minorEastAsia" w:hAnsiTheme="minorEastAsia" w:cs="宋体"/>
                <w:sz w:val="21"/>
                <w:szCs w:val="21"/>
              </w:rPr>
              <w:t>《鹏华价值驱动混合型证券投资基金基金合同》（以下简称“基金合同”）、《鹏华价值驱动混合型证券投资基金招募说明书》及其更新（以下简称“招募说明书”）</w:t>
            </w:r>
          </w:p>
        </w:tc>
      </w:tr>
      <w:tr w:rsidR="00B22628" w:rsidRPr="00845535" w:rsidTr="00F04F6F"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B22628" w:rsidRPr="00845535" w:rsidRDefault="00D12220" w:rsidP="00833728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45535">
              <w:rPr>
                <w:rFonts w:asciiTheme="minorEastAsia" w:eastAsiaTheme="minorEastAsia" w:hAnsiTheme="minorEastAsia" w:cs="宋体"/>
                <w:sz w:val="21"/>
                <w:szCs w:val="21"/>
              </w:rPr>
              <w:t>暂停申购起始日</w:t>
            </w:r>
          </w:p>
        </w:tc>
        <w:tc>
          <w:tcPr>
            <w:tcW w:w="52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B22628" w:rsidRPr="00845535" w:rsidRDefault="0038540F" w:rsidP="00833728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 w:rsidR="00676909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676909"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bookmarkEnd w:id="1"/>
      <w:tr w:rsidR="00F04F6F" w:rsidRPr="00845535" w:rsidTr="00F04F6F"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04F6F" w:rsidRPr="00845535" w:rsidRDefault="00F04F6F" w:rsidP="00F04F6F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45535">
              <w:rPr>
                <w:rFonts w:asciiTheme="minorEastAsia" w:eastAsiaTheme="minorEastAsia" w:hAnsiTheme="minorEastAsia" w:cs="宋体"/>
                <w:sz w:val="21"/>
                <w:szCs w:val="21"/>
              </w:rPr>
              <w:t>暂停赎回起始日</w:t>
            </w:r>
          </w:p>
        </w:tc>
        <w:tc>
          <w:tcPr>
            <w:tcW w:w="52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F04F6F" w:rsidRPr="00845535" w:rsidRDefault="0038540F" w:rsidP="00F04F6F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 w:rsidR="00676909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676909"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F04F6F" w:rsidRPr="00845535" w:rsidTr="00F04F6F"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04F6F" w:rsidRPr="00845535" w:rsidRDefault="00F04F6F" w:rsidP="00F04F6F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45535">
              <w:rPr>
                <w:rFonts w:asciiTheme="minorEastAsia" w:eastAsiaTheme="minorEastAsia" w:hAnsiTheme="minorEastAsia" w:cs="宋体"/>
                <w:sz w:val="21"/>
                <w:szCs w:val="21"/>
              </w:rPr>
              <w:t>暂停转换起始日</w:t>
            </w:r>
          </w:p>
        </w:tc>
        <w:tc>
          <w:tcPr>
            <w:tcW w:w="52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F04F6F" w:rsidRPr="00845535" w:rsidRDefault="0038540F" w:rsidP="00F04F6F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 w:rsidR="00676909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676909"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F04F6F" w:rsidRPr="00845535" w:rsidTr="00F04F6F"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04F6F" w:rsidRPr="00845535" w:rsidRDefault="00F04F6F" w:rsidP="00F04F6F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45535">
              <w:rPr>
                <w:rFonts w:asciiTheme="minorEastAsia" w:eastAsiaTheme="minorEastAsia" w:hAnsiTheme="minorEastAsia" w:cs="宋体"/>
                <w:sz w:val="21"/>
                <w:szCs w:val="21"/>
              </w:rPr>
              <w:t>暂停定期定额投资起始日</w:t>
            </w:r>
          </w:p>
        </w:tc>
        <w:tc>
          <w:tcPr>
            <w:tcW w:w="52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F04F6F" w:rsidRPr="00845535" w:rsidRDefault="0038540F" w:rsidP="00F04F6F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 w:rsidR="00676909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676909"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F04F6F" w:rsidRPr="00845535" w:rsidTr="00F04F6F">
        <w:trPr>
          <w:trHeight w:val="50"/>
        </w:trPr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04F6F" w:rsidRPr="00845535" w:rsidRDefault="00F04F6F" w:rsidP="00F04F6F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45535">
              <w:rPr>
                <w:rFonts w:asciiTheme="minorEastAsia" w:eastAsiaTheme="minorEastAsia" w:hAnsiTheme="minorEastAsia" w:cs="宋体"/>
                <w:sz w:val="21"/>
                <w:szCs w:val="21"/>
              </w:rPr>
              <w:t>暂停申购、赎回、转换和定期定额投资的原因说明</w:t>
            </w:r>
          </w:p>
        </w:tc>
        <w:tc>
          <w:tcPr>
            <w:tcW w:w="52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F04F6F" w:rsidRPr="00845535" w:rsidRDefault="00F04F6F" w:rsidP="00F04F6F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45535">
              <w:rPr>
                <w:rFonts w:asciiTheme="minorEastAsia" w:eastAsiaTheme="minorEastAsia" w:hAnsiTheme="minorEastAsia" w:cs="宋体"/>
                <w:sz w:val="21"/>
                <w:szCs w:val="21"/>
              </w:rPr>
              <w:t>保障基金平稳运作，保护基金份额持有人利益</w:t>
            </w:r>
          </w:p>
        </w:tc>
      </w:tr>
    </w:tbl>
    <w:p w:rsidR="00B22628" w:rsidRPr="00845535" w:rsidRDefault="00D12220">
      <w:pPr>
        <w:pStyle w:val="2"/>
        <w:keepLines/>
        <w:widowControl w:val="0"/>
        <w:spacing w:before="156" w:after="156"/>
        <w:rPr>
          <w:rFonts w:ascii="Times New Roman" w:hAnsi="Times New Roman" w:cs="Times New Roman"/>
        </w:rPr>
      </w:pPr>
      <w:r w:rsidRPr="00845535">
        <w:rPr>
          <w:rFonts w:ascii="宋体" w:eastAsia="宋体" w:cs="宋体"/>
          <w:i w:val="0"/>
          <w:iCs w:val="0"/>
          <w:sz w:val="24"/>
          <w:szCs w:val="24"/>
        </w:rPr>
        <w:t>2其他需要提示的事项</w:t>
      </w:r>
    </w:p>
    <w:p w:rsidR="00F64D9E" w:rsidRPr="00845535" w:rsidRDefault="00D12220" w:rsidP="00F64D9E">
      <w:pPr>
        <w:widowControl w:val="0"/>
        <w:spacing w:line="360" w:lineRule="auto"/>
        <w:ind w:firstLine="420"/>
        <w:rPr>
          <w:rFonts w:asciiTheme="minorEastAsia" w:hAnsiTheme="minorEastAsia" w:cs="宋体"/>
          <w:sz w:val="21"/>
          <w:szCs w:val="21"/>
        </w:rPr>
      </w:pPr>
      <w:r w:rsidRPr="00845535">
        <w:rPr>
          <w:rFonts w:asciiTheme="minorEastAsia" w:eastAsiaTheme="minorEastAsia" w:hAnsiTheme="minorEastAsia" w:cs="宋体"/>
          <w:sz w:val="21"/>
          <w:szCs w:val="21"/>
        </w:rPr>
        <w:t>鹏华价值驱动混合型证券投资基金（以下简称“本基金”） 的主要投资市场之一为香港证券市场，为保障基金平稳运作，保护基金份额持有人利益，</w:t>
      </w:r>
      <w:r w:rsidR="00F64D9E" w:rsidRPr="00845535">
        <w:rPr>
          <w:rFonts w:asciiTheme="minorEastAsia" w:eastAsiaTheme="minorEastAsia" w:hAnsiTheme="minorEastAsia" w:cs="宋体" w:hint="eastAsia"/>
          <w:sz w:val="21"/>
          <w:szCs w:val="21"/>
        </w:rPr>
        <w:t>鹏华基金管理有限公司决定于下述</w:t>
      </w:r>
      <w:r w:rsidR="00F04F6F" w:rsidRPr="00845535">
        <w:rPr>
          <w:rFonts w:asciiTheme="minorEastAsia" w:eastAsiaTheme="minorEastAsia" w:hAnsiTheme="minorEastAsia" w:cs="宋体" w:hint="eastAsia"/>
          <w:sz w:val="21"/>
          <w:szCs w:val="21"/>
        </w:rPr>
        <w:t>2</w:t>
      </w:r>
      <w:r w:rsidR="00F04F6F" w:rsidRPr="00845535">
        <w:rPr>
          <w:rFonts w:asciiTheme="minorEastAsia" w:eastAsiaTheme="minorEastAsia" w:hAnsiTheme="minorEastAsia" w:cs="宋体"/>
          <w:sz w:val="21"/>
          <w:szCs w:val="21"/>
        </w:rPr>
        <w:t>02</w:t>
      </w:r>
      <w:r w:rsidR="0038540F">
        <w:rPr>
          <w:rFonts w:asciiTheme="minorEastAsia" w:eastAsiaTheme="minorEastAsia" w:hAnsiTheme="minorEastAsia" w:cs="宋体"/>
          <w:sz w:val="21"/>
          <w:szCs w:val="21"/>
        </w:rPr>
        <w:t>6</w:t>
      </w:r>
      <w:r w:rsidR="00F04F6F" w:rsidRPr="00845535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F64D9E" w:rsidRPr="00845535">
        <w:rPr>
          <w:rFonts w:asciiTheme="minorEastAsia" w:eastAsiaTheme="minorEastAsia" w:hAnsiTheme="minorEastAsia" w:cs="宋体" w:hint="eastAsia"/>
          <w:sz w:val="21"/>
          <w:szCs w:val="21"/>
        </w:rPr>
        <w:t>非港股通交易日暂停办理本基金的申购、赎回、转换和定期定额投资业务，并自港股通恢复服务之日起恢复办理本基金的上述业务。</w:t>
      </w:r>
    </w:p>
    <w:tbl>
      <w:tblPr>
        <w:tblStyle w:val="a5"/>
        <w:tblW w:w="0" w:type="auto"/>
        <w:jc w:val="center"/>
        <w:tblLook w:val="04A0"/>
      </w:tblPr>
      <w:tblGrid>
        <w:gridCol w:w="4077"/>
      </w:tblGrid>
      <w:tr w:rsidR="00E005C0" w:rsidTr="00E005C0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C0" w:rsidRDefault="00E005C0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非港股通交易日</w:t>
            </w:r>
          </w:p>
        </w:tc>
      </w:tr>
      <w:tr w:rsidR="00E005C0" w:rsidTr="00E005C0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C0" w:rsidRDefault="00E005C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2026年4月3日</w:t>
            </w:r>
          </w:p>
        </w:tc>
      </w:tr>
      <w:tr w:rsidR="00E005C0" w:rsidTr="00E005C0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C0" w:rsidRDefault="00E005C0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2026年4月7日</w:t>
            </w:r>
          </w:p>
        </w:tc>
      </w:tr>
      <w:tr w:rsidR="00E005C0" w:rsidTr="00E005C0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C0" w:rsidRDefault="00E005C0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2026年5月25日</w:t>
            </w:r>
          </w:p>
        </w:tc>
      </w:tr>
      <w:tr w:rsidR="00E005C0" w:rsidTr="00E005C0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C0" w:rsidRDefault="00E005C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2026年7月1日</w:t>
            </w:r>
          </w:p>
        </w:tc>
      </w:tr>
      <w:tr w:rsidR="00E005C0" w:rsidTr="00E005C0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C0" w:rsidRDefault="00E005C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2026年10月19日</w:t>
            </w:r>
          </w:p>
        </w:tc>
      </w:tr>
      <w:tr w:rsidR="00E005C0" w:rsidTr="00E005C0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C0" w:rsidRDefault="00E005C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2026年12月24日</w:t>
            </w:r>
          </w:p>
        </w:tc>
      </w:tr>
      <w:tr w:rsidR="00E005C0" w:rsidTr="00E005C0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C0" w:rsidRDefault="00E005C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2026年12月25日</w:t>
            </w:r>
          </w:p>
        </w:tc>
      </w:tr>
      <w:tr w:rsidR="00E005C0" w:rsidTr="00E005C0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C0" w:rsidRDefault="00E005C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2026年12月31日</w:t>
            </w:r>
          </w:p>
        </w:tc>
      </w:tr>
    </w:tbl>
    <w:p w:rsidR="00845535" w:rsidRPr="00845535" w:rsidRDefault="00F64D9E" w:rsidP="00496E58">
      <w:pPr>
        <w:widowControl w:val="0"/>
        <w:spacing w:beforeLines="100" w:line="360" w:lineRule="auto"/>
        <w:ind w:firstLine="420"/>
        <w:rPr>
          <w:rFonts w:asciiTheme="minorEastAsia" w:hAnsiTheme="minorEastAsia" w:cs="宋体"/>
          <w:sz w:val="21"/>
          <w:szCs w:val="21"/>
        </w:rPr>
      </w:pPr>
      <w:r w:rsidRPr="00845535">
        <w:rPr>
          <w:rFonts w:asciiTheme="minorEastAsia" w:hAnsiTheme="minorEastAsia" w:cs="宋体" w:hint="eastAsia"/>
          <w:sz w:val="21"/>
          <w:szCs w:val="21"/>
        </w:rPr>
        <w:t>若</w:t>
      </w:r>
      <w:r w:rsidR="00845535" w:rsidRPr="00845535">
        <w:rPr>
          <w:rFonts w:asciiTheme="minorEastAsia" w:hAnsiTheme="minorEastAsia" w:cs="宋体" w:hint="eastAsia"/>
          <w:sz w:val="21"/>
          <w:szCs w:val="21"/>
        </w:rPr>
        <w:t>非港股通交易日安排发生变化，本基金管理人将进行相应调整并公告。若本基金投资所处的市场状况发生变化，或将来根据法律法规和基金合同的约定需要调整上述安排的，本基金管理人将另行调整并公告。如遇本基金因其他原因暂停申购、赎回等业务的，具体业务办理以相关公告为准。</w:t>
      </w:r>
    </w:p>
    <w:p w:rsidR="00F64D9E" w:rsidRPr="00845535" w:rsidRDefault="00F64D9E" w:rsidP="00F64D9E">
      <w:pPr>
        <w:widowControl w:val="0"/>
        <w:spacing w:line="360" w:lineRule="auto"/>
        <w:ind w:firstLine="420"/>
        <w:rPr>
          <w:rFonts w:asciiTheme="minorEastAsia" w:hAnsiTheme="minorEastAsia" w:cs="宋体"/>
          <w:sz w:val="21"/>
          <w:szCs w:val="21"/>
        </w:rPr>
      </w:pPr>
      <w:r w:rsidRPr="00845535">
        <w:rPr>
          <w:rFonts w:asciiTheme="minorEastAsia" w:hAnsiTheme="minorEastAsia" w:cs="宋体"/>
          <w:sz w:val="21"/>
          <w:szCs w:val="21"/>
        </w:rPr>
        <w:t>投资者可登录本基金管理人网站（www.phfund.com.cn），或拨打客户服务电话（400-6788-533）咨询相关信息。</w:t>
      </w:r>
    </w:p>
    <w:p w:rsidR="00B22628" w:rsidRPr="00845535" w:rsidRDefault="00D12220" w:rsidP="00F64D9E">
      <w:pPr>
        <w:widowControl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845535">
        <w:rPr>
          <w:rFonts w:asciiTheme="minorEastAsia" w:eastAsiaTheme="minorEastAsia" w:hAnsiTheme="minorEastAsia" w:cs="宋体"/>
          <w:sz w:val="21"/>
          <w:szCs w:val="21"/>
        </w:rPr>
        <w:t>风险提示：本公司承诺以诚实信用、勤勉尽责的原则管理和运用基金资产，但不保证</w:t>
      </w:r>
      <w:r w:rsidRPr="00845535">
        <w:rPr>
          <w:rFonts w:asciiTheme="minorEastAsia" w:eastAsiaTheme="minorEastAsia" w:hAnsiTheme="minorEastAsia" w:cs="宋体"/>
          <w:sz w:val="21"/>
          <w:szCs w:val="21"/>
        </w:rPr>
        <w:lastRenderedPageBreak/>
        <w:t>基金一定盈利，也不保证最低收益，敬请投资者注意投资风险。定期定额投资是引导投资人进行长期投资、平均投资成本的一种简单易行的投资方式。但是定期定额投资并不能规避基金投资所固有的风险，不能保证投资人获得收益，也不是替代储蓄的等效理财方式。投资者投资于本基金前应认真阅读基金的基金合同、招募说明书（更新）、基金产品资料概要（更新）等文件，并根据自身风险承受能力选择适合自己的基金产品。</w:t>
      </w:r>
    </w:p>
    <w:p w:rsidR="00B22628" w:rsidRPr="00845535" w:rsidRDefault="00D12220">
      <w:pPr>
        <w:widowControl w:val="0"/>
        <w:spacing w:line="360" w:lineRule="auto"/>
        <w:ind w:firstLine="420"/>
        <w:rPr>
          <w:rFonts w:asciiTheme="minorEastAsia" w:eastAsiaTheme="minorEastAsia" w:hAnsiTheme="minorEastAsia" w:cs="宋体"/>
          <w:sz w:val="21"/>
          <w:szCs w:val="21"/>
        </w:rPr>
      </w:pPr>
      <w:r w:rsidRPr="00845535">
        <w:rPr>
          <w:rFonts w:asciiTheme="minorEastAsia" w:eastAsiaTheme="minorEastAsia" w:hAnsiTheme="minorEastAsia" w:cs="宋体"/>
          <w:sz w:val="21"/>
          <w:szCs w:val="21"/>
        </w:rPr>
        <w:t>特此公告。</w:t>
      </w:r>
    </w:p>
    <w:p w:rsidR="006177A6" w:rsidRPr="00845535" w:rsidRDefault="006177A6">
      <w:pPr>
        <w:widowControl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</w:p>
    <w:p w:rsidR="00B22628" w:rsidRPr="00845535" w:rsidRDefault="00D12220">
      <w:pPr>
        <w:widowControl w:val="0"/>
        <w:spacing w:line="336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845535">
        <w:rPr>
          <w:rFonts w:asciiTheme="minorEastAsia" w:eastAsiaTheme="minorEastAsia" w:hAnsiTheme="minorEastAsia" w:cs="宋体"/>
          <w:sz w:val="21"/>
          <w:szCs w:val="21"/>
        </w:rPr>
        <w:t>鹏华基金管理有限公司</w:t>
      </w:r>
    </w:p>
    <w:p w:rsidR="00B22628" w:rsidRPr="006177A6" w:rsidRDefault="00F64D9E" w:rsidP="00F64D9E">
      <w:pPr>
        <w:jc w:val="right"/>
        <w:rPr>
          <w:rFonts w:asciiTheme="minorEastAsia" w:eastAsiaTheme="minorEastAsia" w:hAnsiTheme="minorEastAsia"/>
        </w:rPr>
      </w:pPr>
      <w:r w:rsidRPr="00845535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845535">
        <w:rPr>
          <w:rFonts w:asciiTheme="minorEastAsia" w:eastAsiaTheme="minorEastAsia" w:hAnsiTheme="minorEastAsia"/>
          <w:sz w:val="21"/>
          <w:szCs w:val="21"/>
        </w:rPr>
        <w:t>202</w:t>
      </w:r>
      <w:r w:rsidR="0038540F">
        <w:rPr>
          <w:rFonts w:asciiTheme="minorEastAsia" w:eastAsiaTheme="minorEastAsia" w:hAnsiTheme="minorEastAsia"/>
          <w:sz w:val="21"/>
          <w:szCs w:val="21"/>
        </w:rPr>
        <w:t>5</w:t>
      </w:r>
      <w:r w:rsidRPr="00845535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Pr="00845535">
        <w:rPr>
          <w:rFonts w:asciiTheme="minorEastAsia" w:eastAsiaTheme="minorEastAsia" w:hAnsiTheme="minorEastAsia"/>
          <w:sz w:val="21"/>
          <w:szCs w:val="21"/>
        </w:rPr>
        <w:t>1</w:t>
      </w:r>
      <w:r w:rsidR="00F04F6F" w:rsidRPr="00845535">
        <w:rPr>
          <w:rFonts w:asciiTheme="minorEastAsia" w:eastAsiaTheme="minorEastAsia" w:hAnsiTheme="minorEastAsia"/>
          <w:sz w:val="21"/>
          <w:szCs w:val="21"/>
        </w:rPr>
        <w:t>2</w:t>
      </w:r>
      <w:r w:rsidRPr="00845535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38540F">
        <w:rPr>
          <w:rFonts w:asciiTheme="minorEastAsia" w:eastAsiaTheme="minorEastAsia" w:hAnsiTheme="minorEastAsia"/>
          <w:sz w:val="21"/>
          <w:szCs w:val="21"/>
        </w:rPr>
        <w:t>31</w:t>
      </w:r>
      <w:r w:rsidRPr="00845535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p w:rsidR="00B22628" w:rsidRPr="006177A6" w:rsidRDefault="00D12220">
      <w:pPr>
        <w:rPr>
          <w:rFonts w:asciiTheme="minorEastAsia" w:eastAsiaTheme="minorEastAsia" w:hAnsiTheme="minorEastAsia"/>
        </w:rPr>
      </w:pPr>
      <w:r w:rsidRPr="006177A6">
        <w:rPr>
          <w:rFonts w:asciiTheme="minorEastAsia" w:eastAsiaTheme="minorEastAsia" w:hAnsiTheme="minorEastAsia"/>
        </w:rPr>
        <w:t> </w:t>
      </w:r>
    </w:p>
    <w:p w:rsidR="00B22628" w:rsidRPr="006177A6" w:rsidRDefault="00B22628">
      <w:pPr>
        <w:rPr>
          <w:rFonts w:asciiTheme="minorEastAsia" w:eastAsiaTheme="minorEastAsia" w:hAnsiTheme="minorEastAsia"/>
        </w:rPr>
      </w:pPr>
    </w:p>
    <w:sectPr w:rsidR="00B22628" w:rsidRPr="006177A6" w:rsidSect="004411BF">
      <w:footerReference w:type="default" r:id="rId6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55E" w:rsidRDefault="00B5055E">
      <w:r>
        <w:separator/>
      </w:r>
    </w:p>
  </w:endnote>
  <w:endnote w:type="continuationSeparator" w:id="0">
    <w:p w:rsidR="00B5055E" w:rsidRDefault="00B50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628" w:rsidRDefault="004411BF">
    <w:pPr>
      <w:jc w:val="center"/>
    </w:pPr>
    <w:r>
      <w:rPr>
        <w:rFonts w:ascii="宋体" w:eastAsia="宋体" w:cs="宋体"/>
        <w:sz w:val="18"/>
      </w:rPr>
      <w:fldChar w:fldCharType="begin"/>
    </w:r>
    <w:r w:rsidR="00D12220">
      <w:rPr>
        <w:rFonts w:ascii="宋体" w:eastAsia="宋体" w:cs="宋体"/>
        <w:sz w:val="18"/>
      </w:rPr>
      <w:instrText xml:space="preserve"> PAGE </w:instrText>
    </w:r>
    <w:r>
      <w:rPr>
        <w:rFonts w:ascii="宋体" w:eastAsia="宋体" w:cs="宋体"/>
        <w:sz w:val="18"/>
      </w:rPr>
      <w:fldChar w:fldCharType="separate"/>
    </w:r>
    <w:r w:rsidR="00496E58">
      <w:rPr>
        <w:rFonts w:ascii="宋体" w:eastAsia="宋体" w:cs="宋体"/>
        <w:noProof/>
        <w:sz w:val="18"/>
      </w:rPr>
      <w:t>1</w:t>
    </w:r>
    <w:r>
      <w:rPr>
        <w:rFonts w:ascii="宋体" w:eastAsia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55E" w:rsidRDefault="00B5055E">
      <w:r>
        <w:separator/>
      </w:r>
    </w:p>
  </w:footnote>
  <w:footnote w:type="continuationSeparator" w:id="0">
    <w:p w:rsidR="00B5055E" w:rsidRDefault="00B505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20"/>
  <w:drawingGridVerticalSpacing w:val="163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growAutofit/>
    <w:useFELayout/>
    <w:doNotUseIndentAsNumberingTabStop/>
    <w:useAltKinsokuLineBreakRules/>
    <w:splitPgBreakAndParaMark/>
  </w:compat>
  <w:rsids>
    <w:rsidRoot w:val="00B22628"/>
    <w:rsid w:val="00115CAF"/>
    <w:rsid w:val="00210949"/>
    <w:rsid w:val="00234F22"/>
    <w:rsid w:val="002C28E3"/>
    <w:rsid w:val="0038540F"/>
    <w:rsid w:val="004411BF"/>
    <w:rsid w:val="00496E58"/>
    <w:rsid w:val="00570BE9"/>
    <w:rsid w:val="005833E2"/>
    <w:rsid w:val="005C74CC"/>
    <w:rsid w:val="006177A6"/>
    <w:rsid w:val="00624F85"/>
    <w:rsid w:val="00676909"/>
    <w:rsid w:val="008150D2"/>
    <w:rsid w:val="00833728"/>
    <w:rsid w:val="00845535"/>
    <w:rsid w:val="0097283A"/>
    <w:rsid w:val="00993489"/>
    <w:rsid w:val="00B22628"/>
    <w:rsid w:val="00B40176"/>
    <w:rsid w:val="00B5055E"/>
    <w:rsid w:val="00B60C49"/>
    <w:rsid w:val="00C822A0"/>
    <w:rsid w:val="00D12220"/>
    <w:rsid w:val="00E005C0"/>
    <w:rsid w:val="00F04F6F"/>
    <w:rsid w:val="00F6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11BF"/>
    <w:rPr>
      <w:rFonts w:eastAsia="Times New Roman"/>
      <w:sz w:val="24"/>
      <w:szCs w:val="24"/>
    </w:rPr>
  </w:style>
  <w:style w:type="paragraph" w:styleId="1">
    <w:name w:val="heading 1"/>
    <w:basedOn w:val="a"/>
    <w:next w:val="a"/>
    <w:rsid w:val="004411BF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4411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rsid w:val="004411BF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rsid w:val="004411BF"/>
    <w:pPr>
      <w:spacing w:line="360" w:lineRule="auto"/>
    </w:pPr>
    <w:rPr>
      <w:rFonts w:ascii="宋体" w:eastAsia="宋体" w:cs="宋体"/>
      <w:b/>
      <w:sz w:val="21"/>
    </w:rPr>
  </w:style>
  <w:style w:type="paragraph" w:styleId="20">
    <w:name w:val="toc 2"/>
    <w:basedOn w:val="a"/>
    <w:next w:val="a"/>
    <w:autoRedefine/>
    <w:rsid w:val="004411BF"/>
    <w:pPr>
      <w:ind w:left="420"/>
    </w:pPr>
  </w:style>
  <w:style w:type="paragraph" w:styleId="30">
    <w:name w:val="toc 3"/>
    <w:basedOn w:val="a"/>
    <w:next w:val="a"/>
    <w:autoRedefine/>
    <w:rsid w:val="004411BF"/>
    <w:pPr>
      <w:ind w:left="840"/>
    </w:pPr>
  </w:style>
  <w:style w:type="paragraph" w:styleId="4">
    <w:name w:val="toc 4"/>
    <w:basedOn w:val="a"/>
    <w:next w:val="a"/>
    <w:autoRedefine/>
    <w:rsid w:val="004411BF"/>
    <w:pPr>
      <w:ind w:left="1260"/>
    </w:pPr>
  </w:style>
  <w:style w:type="paragraph" w:styleId="5">
    <w:name w:val="toc 5"/>
    <w:basedOn w:val="a"/>
    <w:next w:val="a"/>
    <w:autoRedefine/>
    <w:rsid w:val="004411BF"/>
    <w:pPr>
      <w:ind w:left="1680"/>
    </w:pPr>
  </w:style>
  <w:style w:type="paragraph" w:styleId="a3">
    <w:name w:val="header"/>
    <w:basedOn w:val="a"/>
    <w:rsid w:val="004411BF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411BF"/>
    <w:pPr>
      <w:tabs>
        <w:tab w:val="center" w:pos="4153"/>
        <w:tab w:val="right" w:pos="8307"/>
      </w:tabs>
      <w:snapToGrid w:val="0"/>
    </w:pPr>
    <w:rPr>
      <w:sz w:val="18"/>
    </w:rPr>
  </w:style>
  <w:style w:type="table" w:styleId="a5">
    <w:name w:val="Table Grid"/>
    <w:basedOn w:val="a1"/>
    <w:rsid w:val="00F64D9E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977</Characters>
  <Application>Microsoft Office Word</Application>
  <DocSecurity>4</DocSecurity>
  <Lines>8</Lines>
  <Paragraphs>2</Paragraphs>
  <ScaleCrop>false</ScaleCrop>
  <Company>PHFUND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2025-12-30T16:04:00Z</dcterms:created>
  <dcterms:modified xsi:type="dcterms:W3CDTF">2025-12-30T16:04:00Z</dcterms:modified>
</cp:coreProperties>
</file>