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93" w:rsidRDefault="00716380" w:rsidP="00FD5E93">
      <w:pPr>
        <w:spacing w:line="360" w:lineRule="auto"/>
        <w:jc w:val="center"/>
        <w:rPr>
          <w:rFonts w:asciiTheme="minorEastAsia" w:hAnsiTheme="minorEastAsia"/>
          <w:b/>
          <w:bCs/>
          <w:color w:val="000000"/>
          <w:sz w:val="30"/>
          <w:szCs w:val="30"/>
        </w:rPr>
      </w:pPr>
      <w:r w:rsidRPr="00895E88">
        <w:rPr>
          <w:rFonts w:asciiTheme="minorEastAsia" w:hAnsiTheme="minorEastAsia" w:hint="eastAsia"/>
          <w:b/>
          <w:bCs/>
          <w:color w:val="000000"/>
          <w:sz w:val="30"/>
          <w:szCs w:val="30"/>
        </w:rPr>
        <w:t>易方达基金管理有限公司关于旗下部分深交所</w:t>
      </w:r>
      <w:r w:rsidRPr="00895E88">
        <w:rPr>
          <w:rFonts w:asciiTheme="minorEastAsia" w:hAnsiTheme="minorEastAsia" w:hint="eastAsia"/>
          <w:b/>
          <w:bCs/>
          <w:color w:val="000000"/>
          <w:sz w:val="30"/>
          <w:szCs w:val="30"/>
        </w:rPr>
        <w:t>ETF</w:t>
      </w:r>
      <w:r w:rsidRPr="00895E88">
        <w:rPr>
          <w:rFonts w:asciiTheme="minorEastAsia" w:hAnsiTheme="minorEastAsia" w:hint="eastAsia"/>
          <w:b/>
          <w:bCs/>
          <w:color w:val="000000"/>
          <w:sz w:val="30"/>
          <w:szCs w:val="30"/>
        </w:rPr>
        <w:t>变更场内简称的公告</w:t>
      </w:r>
    </w:p>
    <w:p w:rsidR="00CD5FDD" w:rsidRPr="00CD5FDD" w:rsidRDefault="00CD5FDD" w:rsidP="00FD5E93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895E88" w:rsidRPr="00266E21" w:rsidRDefault="00716380" w:rsidP="00266E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经向深圳证券交易所申请，</w:t>
      </w:r>
      <w:bookmarkStart w:id="0" w:name="_GoBack"/>
      <w:bookmarkEnd w:id="0"/>
      <w:r w:rsidR="008E79EC" w:rsidRPr="00996829">
        <w:rPr>
          <w:rFonts w:asciiTheme="minorEastAsia" w:hAnsiTheme="minorEastAsia" w:hint="eastAsia"/>
          <w:sz w:val="24"/>
          <w:szCs w:val="24"/>
        </w:rPr>
        <w:t>易方达基金管理有限公司</w:t>
      </w:r>
      <w:r>
        <w:rPr>
          <w:rFonts w:asciiTheme="minorEastAsia" w:hAnsiTheme="minorEastAsia" w:hint="eastAsia"/>
          <w:sz w:val="24"/>
          <w:szCs w:val="24"/>
        </w:rPr>
        <w:t>旗下部分深交所</w:t>
      </w:r>
      <w:r>
        <w:rPr>
          <w:rFonts w:asciiTheme="minorEastAsia" w:hAnsiTheme="minorEastAsia" w:hint="eastAsia"/>
          <w:sz w:val="24"/>
          <w:szCs w:val="24"/>
        </w:rPr>
        <w:t>E</w:t>
      </w:r>
      <w:r>
        <w:rPr>
          <w:rFonts w:asciiTheme="minorEastAsia" w:hAnsiTheme="minorEastAsia"/>
          <w:sz w:val="24"/>
          <w:szCs w:val="24"/>
        </w:rPr>
        <w:t>TF</w:t>
      </w:r>
      <w:r>
        <w:rPr>
          <w:rFonts w:asciiTheme="minorEastAsia" w:hAnsiTheme="minorEastAsia" w:hint="eastAsia"/>
          <w:sz w:val="24"/>
          <w:szCs w:val="24"/>
        </w:rPr>
        <w:t>将</w:t>
      </w:r>
      <w:r w:rsidRPr="00996829">
        <w:rPr>
          <w:rFonts w:asciiTheme="minorEastAsia" w:hAnsiTheme="minorEastAsia"/>
          <w:sz w:val="24"/>
          <w:szCs w:val="24"/>
        </w:rPr>
        <w:t>自</w:t>
      </w:r>
      <w:r w:rsidR="00A31D77" w:rsidRPr="00996829">
        <w:rPr>
          <w:rFonts w:asciiTheme="minorEastAsia" w:hAnsiTheme="minorEastAsia"/>
          <w:sz w:val="24"/>
          <w:szCs w:val="24"/>
        </w:rPr>
        <w:t>2</w:t>
      </w:r>
      <w:r w:rsidR="00A31D77">
        <w:rPr>
          <w:rFonts w:asciiTheme="minorEastAsia" w:hAnsiTheme="minorEastAsia"/>
          <w:sz w:val="24"/>
          <w:szCs w:val="24"/>
        </w:rPr>
        <w:t>026</w:t>
      </w:r>
      <w:r w:rsidRPr="00996829">
        <w:rPr>
          <w:rFonts w:asciiTheme="minorEastAsia" w:hAnsiTheme="minorEastAsia"/>
          <w:sz w:val="24"/>
          <w:szCs w:val="24"/>
        </w:rPr>
        <w:t>年</w:t>
      </w:r>
      <w:r w:rsidR="00A31D77">
        <w:rPr>
          <w:rFonts w:asciiTheme="minorEastAsia" w:hAnsiTheme="minorEastAsia"/>
          <w:sz w:val="24"/>
          <w:szCs w:val="24"/>
        </w:rPr>
        <w:t>1</w:t>
      </w:r>
      <w:r w:rsidRPr="00996829">
        <w:rPr>
          <w:rFonts w:asciiTheme="minorEastAsia" w:hAnsiTheme="minorEastAsia"/>
          <w:sz w:val="24"/>
          <w:szCs w:val="24"/>
        </w:rPr>
        <w:t>月</w:t>
      </w:r>
      <w:r w:rsidR="00A31D77">
        <w:rPr>
          <w:rFonts w:asciiTheme="minorEastAsia" w:hAnsiTheme="minorEastAsia"/>
          <w:sz w:val="24"/>
          <w:szCs w:val="24"/>
        </w:rPr>
        <w:t>5</w:t>
      </w:r>
      <w:r w:rsidRPr="00996829">
        <w:rPr>
          <w:rFonts w:asciiTheme="minorEastAsia" w:hAnsiTheme="minorEastAsia"/>
          <w:sz w:val="24"/>
          <w:szCs w:val="24"/>
        </w:rPr>
        <w:t>日</w:t>
      </w:r>
      <w:r w:rsidRPr="00996829">
        <w:rPr>
          <w:rFonts w:asciiTheme="minorEastAsia" w:hAnsiTheme="minorEastAsia" w:hint="eastAsia"/>
          <w:sz w:val="24"/>
          <w:szCs w:val="24"/>
        </w:rPr>
        <w:t>起</w:t>
      </w:r>
      <w:r>
        <w:rPr>
          <w:rFonts w:asciiTheme="minorEastAsia" w:hAnsiTheme="minorEastAsia" w:hint="eastAsia"/>
          <w:sz w:val="24"/>
          <w:szCs w:val="24"/>
        </w:rPr>
        <w:t>变更</w:t>
      </w:r>
      <w:r w:rsidRPr="00895E88">
        <w:rPr>
          <w:rFonts w:asciiTheme="minorEastAsia" w:hAnsiTheme="minorEastAsia" w:hint="eastAsia"/>
          <w:sz w:val="24"/>
          <w:szCs w:val="24"/>
        </w:rPr>
        <w:t>场内简称</w:t>
      </w:r>
      <w:r w:rsidR="000342E3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涉及基金及变更情况如下：</w:t>
      </w:r>
      <w:r w:rsidR="000342E3" w:rsidRPr="000342E3">
        <w:rPr>
          <w:rFonts w:hint="eastAsia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9"/>
        <w:gridCol w:w="3261"/>
        <w:gridCol w:w="1842"/>
        <w:gridCol w:w="2552"/>
      </w:tblGrid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  <w:hideMark/>
          </w:tcPr>
          <w:p w:rsidR="00895E88" w:rsidRPr="00895E88" w:rsidRDefault="00716380" w:rsidP="00BA03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95E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基金代码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895E88" w:rsidRPr="00895E88" w:rsidRDefault="00716380" w:rsidP="00895E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95E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895E88" w:rsidRPr="00895E88" w:rsidRDefault="00716380" w:rsidP="00895E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95E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原场内简称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95E88" w:rsidRPr="00895E88" w:rsidRDefault="00716380" w:rsidP="00895E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95E8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变更后场内简称</w:t>
            </w:r>
          </w:p>
        </w:tc>
      </w:tr>
      <w:tr w:rsidR="00E5438C" w:rsidTr="00AF5399">
        <w:trPr>
          <w:trHeight w:val="670"/>
        </w:trPr>
        <w:tc>
          <w:tcPr>
            <w:tcW w:w="1129" w:type="dxa"/>
            <w:shd w:val="clear" w:color="auto" w:fill="FFFFFF"/>
            <w:vAlign w:val="center"/>
            <w:hideMark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159001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易方达保证金收益货币市场基金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货币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22A6E">
              <w:rPr>
                <w:rFonts w:asciiTheme="minorEastAsia" w:hAnsiTheme="minorEastAsia" w:hint="eastAsia"/>
                <w:color w:val="000000" w:themeColor="text1"/>
                <w:szCs w:val="21"/>
              </w:rPr>
              <w:t>货币</w:t>
            </w:r>
            <w:r w:rsidRPr="00922A6E">
              <w:rPr>
                <w:rFonts w:asciiTheme="minorEastAsia" w:hAnsiTheme="minorEastAsia"/>
                <w:color w:val="000000" w:themeColor="text1"/>
                <w:szCs w:val="21"/>
              </w:rPr>
              <w:t>ETF</w:t>
            </w:r>
            <w:r w:rsidRPr="00922A6E">
              <w:rPr>
                <w:rFonts w:asciiTheme="minorEastAsia" w:hAnsiTheme="minorEastAsia"/>
                <w:color w:val="000000" w:themeColor="text1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159121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易方达恒生港股通汽车主题交易型开放式指数证券投资基金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恒生汽车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港股通汽车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ETF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159259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易方达国证成长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成长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成长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159263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易方达国证价值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价值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价值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159316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易方达恒生港股通创新药交易型开放式指数证券投资基金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恒生创新药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港股通创新药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ETF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159545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易方达恒生港股通高股息低波动交易型开放式指数证券投资基金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恒生红利低波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恒生红利低波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159565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易方达中证汽车零部件主题交易型开放式指数证券投资基金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汽车零部件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汽车零部件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159566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易方达国证新能源电池交易型开放式指数证券投资基金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储能电池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储能电池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159606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500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质量成长交易型开放式指数证券投资基金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中证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500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成长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中证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500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成长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159781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易方达中证科创创业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50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科创创业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科创创业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159788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易方达中证港股通中国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港股通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港股通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159807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易方达中证科技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50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科技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科技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159819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易方达中证人工智能主题交易型开放式指数证券投资基金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人工智能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人工智能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159837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易方达中证生物科技主题交易型开放式指数证券投资基金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生物科技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生物科技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159901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易方达深证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深证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深证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100ETF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A0385">
              <w:rPr>
                <w:rFonts w:asciiTheme="minorEastAsia" w:hAnsiTheme="minorEastAsia" w:cs="宋体"/>
                <w:bCs/>
                <w:kern w:val="0"/>
                <w:szCs w:val="21"/>
              </w:rPr>
              <w:t>159915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易方达创业板交易型开放式指数证券投资基金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创业板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3FDE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A0385">
              <w:rPr>
                <w:rFonts w:asciiTheme="minorEastAsia" w:hAnsiTheme="minorEastAsia" w:hint="eastAsia"/>
                <w:color w:val="000000"/>
                <w:szCs w:val="21"/>
              </w:rPr>
              <w:t>创业板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ETF</w:t>
            </w:r>
            <w:r w:rsidRPr="00BA0385">
              <w:rPr>
                <w:rFonts w:asciiTheme="minorEastAsia" w:hAnsiTheme="minorEastAsia"/>
                <w:color w:val="000000"/>
                <w:szCs w:val="21"/>
              </w:rPr>
              <w:t>易方达</w:t>
            </w:r>
          </w:p>
        </w:tc>
      </w:tr>
      <w:tr w:rsidR="00E5438C" w:rsidTr="00AF5399">
        <w:trPr>
          <w:trHeight w:val="350"/>
        </w:trPr>
        <w:tc>
          <w:tcPr>
            <w:tcW w:w="1129" w:type="dxa"/>
            <w:shd w:val="clear" w:color="auto" w:fill="FFFFFF"/>
            <w:vAlign w:val="center"/>
          </w:tcPr>
          <w:p w:rsidR="00F80B08" w:rsidRPr="00BA0385" w:rsidRDefault="00716380" w:rsidP="00793FDE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80B08">
              <w:rPr>
                <w:rFonts w:asciiTheme="minorEastAsia" w:hAnsiTheme="minorEastAsia" w:cs="宋体"/>
                <w:bCs/>
                <w:kern w:val="0"/>
                <w:szCs w:val="21"/>
              </w:rPr>
              <w:t>159934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80B08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易方达黄金交易型开放式证券投资基金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80B08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黄金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ETF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80B08" w:rsidRPr="00BA0385" w:rsidRDefault="00716380" w:rsidP="00793FD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黄金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ETF</w:t>
            </w:r>
            <w:r w:rsidRPr="00F80B08">
              <w:rPr>
                <w:rFonts w:asciiTheme="minorEastAsia" w:hAnsiTheme="minorEastAsia" w:hint="eastAsia"/>
                <w:color w:val="000000"/>
                <w:szCs w:val="21"/>
              </w:rPr>
              <w:t>易方达</w:t>
            </w:r>
          </w:p>
        </w:tc>
      </w:tr>
    </w:tbl>
    <w:p w:rsidR="009F2D91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342E3">
        <w:rPr>
          <w:rFonts w:asciiTheme="minorEastAsia" w:hAnsiTheme="minorEastAsia" w:hint="eastAsia"/>
          <w:sz w:val="24"/>
          <w:szCs w:val="24"/>
        </w:rPr>
        <w:lastRenderedPageBreak/>
        <w:t>基金代码、基金名称等其他事项保持不变</w:t>
      </w:r>
      <w:r w:rsidRPr="00996829">
        <w:rPr>
          <w:rFonts w:asciiTheme="minorEastAsia" w:hAnsiTheme="minorEastAsia"/>
          <w:sz w:val="24"/>
          <w:szCs w:val="24"/>
        </w:rPr>
        <w:t>。</w:t>
      </w:r>
    </w:p>
    <w:p w:rsidR="00CD5FDD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17"/>
          <w:szCs w:val="17"/>
        </w:rPr>
      </w:pPr>
      <w:r w:rsidRPr="00996829">
        <w:rPr>
          <w:rFonts w:asciiTheme="minorEastAsia" w:hAnsiTheme="minorEastAsia"/>
          <w:sz w:val="24"/>
          <w:szCs w:val="24"/>
        </w:rPr>
        <w:t>本次</w:t>
      </w:r>
      <w:r w:rsidRPr="00996829">
        <w:rPr>
          <w:rFonts w:asciiTheme="minorEastAsia" w:hAnsiTheme="minorEastAsia" w:hint="eastAsia"/>
          <w:sz w:val="24"/>
          <w:szCs w:val="24"/>
        </w:rPr>
        <w:t>变更</w:t>
      </w:r>
      <w:r w:rsidR="000F27C5">
        <w:rPr>
          <w:rFonts w:asciiTheme="minorEastAsia" w:hAnsiTheme="minorEastAsia" w:hint="eastAsia"/>
          <w:sz w:val="24"/>
          <w:szCs w:val="24"/>
        </w:rPr>
        <w:t>上述</w:t>
      </w:r>
      <w:r w:rsidRPr="00996829">
        <w:rPr>
          <w:rFonts w:asciiTheme="minorEastAsia" w:hAnsiTheme="minorEastAsia" w:hint="eastAsia"/>
          <w:sz w:val="24"/>
          <w:szCs w:val="24"/>
        </w:rPr>
        <w:t>简称</w:t>
      </w:r>
      <w:r w:rsidRPr="00996829">
        <w:rPr>
          <w:rFonts w:asciiTheme="minorEastAsia" w:hAnsiTheme="minorEastAsia"/>
          <w:sz w:val="24"/>
          <w:szCs w:val="24"/>
        </w:rPr>
        <w:t>对基金</w:t>
      </w:r>
      <w:r>
        <w:rPr>
          <w:rFonts w:asciiTheme="minorEastAsia" w:hAnsiTheme="minorEastAsia"/>
          <w:sz w:val="24"/>
          <w:szCs w:val="24"/>
        </w:rPr>
        <w:t>份额</w:t>
      </w:r>
      <w:r w:rsidRPr="00996829">
        <w:rPr>
          <w:rFonts w:asciiTheme="minorEastAsia" w:hAnsiTheme="minorEastAsia"/>
          <w:sz w:val="24"/>
          <w:szCs w:val="24"/>
        </w:rPr>
        <w:t>持有人利益无实质性不利影响，且不涉及基金合同当事人权利义务关系发生变化，不需要召开</w:t>
      </w:r>
      <w:r>
        <w:rPr>
          <w:rFonts w:asciiTheme="minorEastAsia" w:hAnsiTheme="minorEastAsia"/>
          <w:sz w:val="24"/>
          <w:szCs w:val="24"/>
        </w:rPr>
        <w:t>基金</w:t>
      </w:r>
      <w:r w:rsidR="000F27C5">
        <w:rPr>
          <w:rFonts w:asciiTheme="minorEastAsia" w:hAnsiTheme="minorEastAsia"/>
          <w:sz w:val="24"/>
          <w:szCs w:val="24"/>
        </w:rPr>
        <w:t>份额</w:t>
      </w:r>
      <w:r w:rsidRPr="00996829">
        <w:rPr>
          <w:rFonts w:asciiTheme="minorEastAsia" w:hAnsiTheme="minorEastAsia"/>
          <w:sz w:val="24"/>
          <w:szCs w:val="24"/>
        </w:rPr>
        <w:t>持有人大会。</w:t>
      </w:r>
    </w:p>
    <w:p w:rsidR="00CD5FDD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投资者可通过以下途径咨询有关详情：</w:t>
      </w:r>
    </w:p>
    <w:p w:rsidR="00CD5FDD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客户服务电话：</w:t>
      </w:r>
      <w:r w:rsidRPr="00996829">
        <w:rPr>
          <w:rFonts w:asciiTheme="minorEastAsia" w:hAnsiTheme="minorEastAsia" w:hint="eastAsia"/>
          <w:sz w:val="24"/>
          <w:szCs w:val="24"/>
        </w:rPr>
        <w:t>400-881-8088</w:t>
      </w:r>
    </w:p>
    <w:p w:rsidR="00CD5FDD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网址：</w:t>
      </w:r>
      <w:r w:rsidRPr="00996829">
        <w:rPr>
          <w:rFonts w:asciiTheme="minorEastAsia" w:hAnsiTheme="minorEastAsia" w:hint="eastAsia"/>
          <w:sz w:val="24"/>
          <w:szCs w:val="24"/>
        </w:rPr>
        <w:t>www.efunds.com.cn</w:t>
      </w:r>
    </w:p>
    <w:p w:rsidR="00CD5FDD" w:rsidRPr="00996829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</w:t>
      </w:r>
      <w:r w:rsidRPr="00996829">
        <w:rPr>
          <w:rFonts w:asciiTheme="minorEastAsia" w:hAnsiTheme="minorEastAsia" w:hint="eastAsia"/>
          <w:sz w:val="24"/>
          <w:szCs w:val="24"/>
        </w:rPr>
        <w:t>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D5FDD" w:rsidRDefault="00716380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特此公告。</w:t>
      </w:r>
    </w:p>
    <w:p w:rsidR="00266E21" w:rsidRPr="00996829" w:rsidRDefault="00266E21" w:rsidP="00CD5F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D5FDD" w:rsidRPr="00996829" w:rsidRDefault="00716380" w:rsidP="00716380">
      <w:pPr>
        <w:widowControl/>
        <w:spacing w:beforeLines="100" w:line="360" w:lineRule="auto"/>
        <w:ind w:firstLineChars="202" w:firstLine="485"/>
        <w:jc w:val="right"/>
        <w:rPr>
          <w:rFonts w:asciiTheme="minorEastAsia" w:hAnsiTheme="minorEastAsia"/>
          <w:sz w:val="24"/>
          <w:szCs w:val="24"/>
        </w:rPr>
      </w:pPr>
      <w:r w:rsidRPr="00996829"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5F4276" w:rsidRPr="001D1649" w:rsidRDefault="00716380" w:rsidP="00BD4DBA">
      <w:pPr>
        <w:spacing w:line="360" w:lineRule="auto"/>
        <w:ind w:firstLineChars="2600" w:firstLine="6240"/>
        <w:jc w:val="right"/>
        <w:rPr>
          <w:rFonts w:asciiTheme="minorEastAsia" w:hAnsiTheme="minorEastAsia"/>
        </w:rPr>
      </w:pPr>
      <w:r w:rsidRPr="00996829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/>
          <w:sz w:val="24"/>
          <w:szCs w:val="24"/>
        </w:rPr>
        <w:t>25</w:t>
      </w:r>
      <w:r w:rsidRPr="0099682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12</w:t>
      </w:r>
      <w:r w:rsidRPr="00996829">
        <w:rPr>
          <w:rFonts w:asciiTheme="minorEastAsia" w:hAnsiTheme="minorEastAsia" w:hint="eastAsia"/>
          <w:sz w:val="24"/>
          <w:szCs w:val="24"/>
        </w:rPr>
        <w:t>月</w:t>
      </w:r>
      <w:r w:rsidR="00A31D77">
        <w:rPr>
          <w:rFonts w:asciiTheme="minorEastAsia" w:hAnsiTheme="minorEastAsia"/>
          <w:sz w:val="24"/>
          <w:szCs w:val="24"/>
        </w:rPr>
        <w:t>30</w:t>
      </w:r>
      <w:r w:rsidR="00B4040F" w:rsidRPr="00996829">
        <w:rPr>
          <w:rFonts w:asciiTheme="minorEastAsia" w:hAnsiTheme="minorEastAsia" w:hint="eastAsia"/>
          <w:sz w:val="24"/>
          <w:szCs w:val="24"/>
        </w:rPr>
        <w:t>日</w:t>
      </w:r>
    </w:p>
    <w:sectPr w:rsidR="005F4276" w:rsidRPr="001D1649" w:rsidSect="005F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94C"/>
    <w:rsid w:val="00005193"/>
    <w:rsid w:val="00007A86"/>
    <w:rsid w:val="00010F35"/>
    <w:rsid w:val="000153DC"/>
    <w:rsid w:val="00031D33"/>
    <w:rsid w:val="000342E3"/>
    <w:rsid w:val="00042726"/>
    <w:rsid w:val="00044D64"/>
    <w:rsid w:val="00046A1E"/>
    <w:rsid w:val="000628B1"/>
    <w:rsid w:val="000A7649"/>
    <w:rsid w:val="000F11E5"/>
    <w:rsid w:val="000F27C5"/>
    <w:rsid w:val="00107E3C"/>
    <w:rsid w:val="001164EE"/>
    <w:rsid w:val="001713F8"/>
    <w:rsid w:val="00181AE1"/>
    <w:rsid w:val="001A4BE9"/>
    <w:rsid w:val="001B3C5B"/>
    <w:rsid w:val="001B5727"/>
    <w:rsid w:val="001C1E8B"/>
    <w:rsid w:val="001C3808"/>
    <w:rsid w:val="001D1649"/>
    <w:rsid w:val="001D4CB9"/>
    <w:rsid w:val="00214BCF"/>
    <w:rsid w:val="00222905"/>
    <w:rsid w:val="00266E21"/>
    <w:rsid w:val="002768AB"/>
    <w:rsid w:val="002A0A6C"/>
    <w:rsid w:val="002C3DB2"/>
    <w:rsid w:val="002E3412"/>
    <w:rsid w:val="00324760"/>
    <w:rsid w:val="00332C37"/>
    <w:rsid w:val="0034664F"/>
    <w:rsid w:val="00346A71"/>
    <w:rsid w:val="0036473A"/>
    <w:rsid w:val="00377BAD"/>
    <w:rsid w:val="00393424"/>
    <w:rsid w:val="00404A26"/>
    <w:rsid w:val="0042439C"/>
    <w:rsid w:val="004C3DA3"/>
    <w:rsid w:val="004F633A"/>
    <w:rsid w:val="0051338C"/>
    <w:rsid w:val="00522F6C"/>
    <w:rsid w:val="005460EF"/>
    <w:rsid w:val="00547338"/>
    <w:rsid w:val="0057209D"/>
    <w:rsid w:val="0057348C"/>
    <w:rsid w:val="005826AE"/>
    <w:rsid w:val="0058615F"/>
    <w:rsid w:val="005975BD"/>
    <w:rsid w:val="005A72F9"/>
    <w:rsid w:val="005D6553"/>
    <w:rsid w:val="005F4276"/>
    <w:rsid w:val="0061269E"/>
    <w:rsid w:val="006136AD"/>
    <w:rsid w:val="0065598A"/>
    <w:rsid w:val="00670357"/>
    <w:rsid w:val="006826F0"/>
    <w:rsid w:val="006C0E9B"/>
    <w:rsid w:val="006F207B"/>
    <w:rsid w:val="006F2150"/>
    <w:rsid w:val="00716380"/>
    <w:rsid w:val="007213CD"/>
    <w:rsid w:val="00722251"/>
    <w:rsid w:val="0072509C"/>
    <w:rsid w:val="00734B4B"/>
    <w:rsid w:val="00766E6E"/>
    <w:rsid w:val="00775FBB"/>
    <w:rsid w:val="00776188"/>
    <w:rsid w:val="00785B69"/>
    <w:rsid w:val="00793FDE"/>
    <w:rsid w:val="0079795A"/>
    <w:rsid w:val="007A2139"/>
    <w:rsid w:val="007A315F"/>
    <w:rsid w:val="007B60B0"/>
    <w:rsid w:val="0080149D"/>
    <w:rsid w:val="00821DC9"/>
    <w:rsid w:val="00822A04"/>
    <w:rsid w:val="00825F5F"/>
    <w:rsid w:val="0084436D"/>
    <w:rsid w:val="00845012"/>
    <w:rsid w:val="00860816"/>
    <w:rsid w:val="00866D4C"/>
    <w:rsid w:val="00877EFF"/>
    <w:rsid w:val="00890591"/>
    <w:rsid w:val="0089507C"/>
    <w:rsid w:val="00895E88"/>
    <w:rsid w:val="008A081D"/>
    <w:rsid w:val="008C26BF"/>
    <w:rsid w:val="008C33D7"/>
    <w:rsid w:val="008C5966"/>
    <w:rsid w:val="008E79EC"/>
    <w:rsid w:val="0090293A"/>
    <w:rsid w:val="00922A6E"/>
    <w:rsid w:val="009802AE"/>
    <w:rsid w:val="00996829"/>
    <w:rsid w:val="009A4763"/>
    <w:rsid w:val="009B574C"/>
    <w:rsid w:val="009D5414"/>
    <w:rsid w:val="009F2D91"/>
    <w:rsid w:val="009F53B9"/>
    <w:rsid w:val="00A14557"/>
    <w:rsid w:val="00A211FC"/>
    <w:rsid w:val="00A31D77"/>
    <w:rsid w:val="00A5471A"/>
    <w:rsid w:val="00A85663"/>
    <w:rsid w:val="00A93BFE"/>
    <w:rsid w:val="00A96A98"/>
    <w:rsid w:val="00AB711A"/>
    <w:rsid w:val="00AF4A16"/>
    <w:rsid w:val="00AF5399"/>
    <w:rsid w:val="00B12FE2"/>
    <w:rsid w:val="00B20E60"/>
    <w:rsid w:val="00B21829"/>
    <w:rsid w:val="00B4040F"/>
    <w:rsid w:val="00B5689E"/>
    <w:rsid w:val="00B57C61"/>
    <w:rsid w:val="00BA0385"/>
    <w:rsid w:val="00BC194C"/>
    <w:rsid w:val="00BD4DBA"/>
    <w:rsid w:val="00BD7E8A"/>
    <w:rsid w:val="00BE5883"/>
    <w:rsid w:val="00BF2847"/>
    <w:rsid w:val="00C4256F"/>
    <w:rsid w:val="00C64312"/>
    <w:rsid w:val="00C948A8"/>
    <w:rsid w:val="00CD3EC1"/>
    <w:rsid w:val="00CD5FDD"/>
    <w:rsid w:val="00CE4331"/>
    <w:rsid w:val="00CE6B9D"/>
    <w:rsid w:val="00D55035"/>
    <w:rsid w:val="00D645F0"/>
    <w:rsid w:val="00D84B84"/>
    <w:rsid w:val="00D86A3D"/>
    <w:rsid w:val="00DA0513"/>
    <w:rsid w:val="00DA740E"/>
    <w:rsid w:val="00DE7087"/>
    <w:rsid w:val="00E15560"/>
    <w:rsid w:val="00E26BED"/>
    <w:rsid w:val="00E41683"/>
    <w:rsid w:val="00E5438C"/>
    <w:rsid w:val="00E71013"/>
    <w:rsid w:val="00E954D0"/>
    <w:rsid w:val="00E97545"/>
    <w:rsid w:val="00EA6DB1"/>
    <w:rsid w:val="00ED747F"/>
    <w:rsid w:val="00EE5BD0"/>
    <w:rsid w:val="00F02AA9"/>
    <w:rsid w:val="00F159D7"/>
    <w:rsid w:val="00F354B2"/>
    <w:rsid w:val="00F752CD"/>
    <w:rsid w:val="00F80B08"/>
    <w:rsid w:val="00F97BFB"/>
    <w:rsid w:val="00FD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9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C194C"/>
    <w:rPr>
      <w:color w:val="864654"/>
      <w:u w:val="single"/>
    </w:rPr>
  </w:style>
  <w:style w:type="character" w:styleId="a6">
    <w:name w:val="Strong"/>
    <w:basedOn w:val="a0"/>
    <w:uiPriority w:val="22"/>
    <w:qFormat/>
    <w:rsid w:val="00BC194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44D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4D6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5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9B7E-8582-4A1C-BE0E-97E41D8D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4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2025-12-29T16:04:00Z</dcterms:created>
  <dcterms:modified xsi:type="dcterms:W3CDTF">2025-12-29T16:04:00Z</dcterms:modified>
</cp:coreProperties>
</file>