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1A" w:rsidRPr="00252092" w:rsidRDefault="00DD531A" w:rsidP="00252092">
      <w:pPr>
        <w:jc w:val="center"/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  <w:r w:rsidRPr="00252092">
        <w:rPr>
          <w:rFonts w:ascii="黑体" w:eastAsia="黑体" w:hAnsi="黑体" w:hint="eastAsia"/>
          <w:b/>
          <w:sz w:val="30"/>
          <w:szCs w:val="30"/>
        </w:rPr>
        <w:t>天弘基金管理有限公司关于</w:t>
      </w:r>
      <w:r w:rsidR="00984399">
        <w:rPr>
          <w:rFonts w:ascii="黑体" w:eastAsia="黑体" w:hAnsi="黑体" w:hint="eastAsia"/>
          <w:b/>
          <w:sz w:val="30"/>
          <w:szCs w:val="30"/>
        </w:rPr>
        <w:t>天弘恒生科技交易型开放式指数证券投资基金</w:t>
      </w:r>
      <w:r w:rsidR="00984399">
        <w:rPr>
          <w:rFonts w:ascii="黑体" w:eastAsia="黑体" w:hAnsi="黑体"/>
          <w:b/>
          <w:sz w:val="30"/>
          <w:szCs w:val="30"/>
        </w:rPr>
        <w:t>(QDII)</w:t>
      </w:r>
      <w:r w:rsidRPr="00252092">
        <w:rPr>
          <w:rFonts w:ascii="黑体" w:eastAsia="黑体" w:hAnsi="黑体" w:hint="eastAsia"/>
          <w:b/>
          <w:sz w:val="30"/>
          <w:szCs w:val="30"/>
        </w:rPr>
        <w:t>于</w:t>
      </w:r>
      <w:r w:rsidR="00984399">
        <w:rPr>
          <w:rFonts w:ascii="黑体" w:eastAsia="黑体" w:hAnsi="黑体"/>
          <w:b/>
          <w:sz w:val="30"/>
          <w:szCs w:val="30"/>
        </w:rPr>
        <w:t>2025年12月31日</w:t>
      </w:r>
      <w:r w:rsidRPr="00252092">
        <w:rPr>
          <w:rFonts w:ascii="黑体" w:eastAsia="黑体" w:hAnsi="黑体" w:hint="eastAsia"/>
          <w:b/>
          <w:sz w:val="30"/>
          <w:szCs w:val="30"/>
        </w:rPr>
        <w:t>暂停</w:t>
      </w:r>
      <w:r w:rsidR="00984399">
        <w:rPr>
          <w:rFonts w:ascii="黑体" w:eastAsia="黑体" w:hAnsi="黑体" w:hint="eastAsia"/>
          <w:b/>
          <w:sz w:val="30"/>
          <w:szCs w:val="30"/>
        </w:rPr>
        <w:t>申购及赎回</w:t>
      </w:r>
      <w:r w:rsidRPr="00252092">
        <w:rPr>
          <w:rFonts w:ascii="黑体" w:eastAsia="黑体" w:hAnsi="黑体" w:hint="eastAsia"/>
          <w:b/>
          <w:sz w:val="30"/>
          <w:szCs w:val="30"/>
        </w:rPr>
        <w:t>业务的公告</w:t>
      </w:r>
    </w:p>
    <w:p w:rsidR="00DD531A" w:rsidRPr="007D7838" w:rsidRDefault="00DD531A" w:rsidP="00DD531A">
      <w:pPr>
        <w:widowControl/>
        <w:shd w:val="clear" w:color="auto" w:fill="FFFFFF"/>
        <w:spacing w:after="420" w:line="399" w:lineRule="atLeast"/>
        <w:jc w:val="center"/>
        <w:rPr>
          <w:rFonts w:ascii="黑体" w:eastAsia="黑体" w:hAnsi="黑体" w:cs="宋体"/>
          <w:kern w:val="0"/>
          <w:sz w:val="24"/>
          <w:szCs w:val="24"/>
        </w:rPr>
      </w:pPr>
      <w:r w:rsidRPr="00AA2B95">
        <w:rPr>
          <w:rFonts w:ascii="黑体" w:eastAsia="黑体" w:hAnsi="黑体" w:cs="宋体"/>
          <w:b/>
          <w:bCs/>
          <w:color w:val="000000"/>
          <w:kern w:val="0"/>
          <w:sz w:val="24"/>
          <w:szCs w:val="24"/>
        </w:rPr>
        <w:t>公告送出日期：</w:t>
      </w:r>
      <w:r w:rsidR="00984399">
        <w:rPr>
          <w:rFonts w:ascii="黑体" w:eastAsia="黑体" w:hAnsi="黑体" w:cs="宋体"/>
          <w:b/>
          <w:bCs/>
          <w:color w:val="000000"/>
          <w:kern w:val="0"/>
          <w:sz w:val="24"/>
          <w:szCs w:val="24"/>
        </w:rPr>
        <w:t>2025年12月30日</w:t>
      </w:r>
    </w:p>
    <w:p w:rsidR="00DD531A" w:rsidRPr="00AA2B95" w:rsidRDefault="00DD531A" w:rsidP="00B732DF">
      <w:pPr>
        <w:widowControl/>
        <w:shd w:val="clear" w:color="auto" w:fill="FFFFFF"/>
        <w:spacing w:line="399" w:lineRule="atLeast"/>
        <w:rPr>
          <w:rFonts w:ascii="黑体" w:eastAsia="黑体" w:hAnsi="黑体" w:cs="宋体"/>
          <w:b/>
          <w:bCs/>
          <w:color w:val="000000"/>
          <w:kern w:val="0"/>
          <w:sz w:val="24"/>
          <w:szCs w:val="24"/>
        </w:rPr>
      </w:pPr>
      <w:r w:rsidRPr="00AA2B95">
        <w:rPr>
          <w:rFonts w:ascii="黑体" w:eastAsia="黑体" w:hAnsi="黑体" w:cs="宋体"/>
          <w:b/>
          <w:bCs/>
          <w:color w:val="000000"/>
          <w:kern w:val="0"/>
          <w:sz w:val="24"/>
          <w:szCs w:val="24"/>
        </w:rPr>
        <w:t>1.公告基本信息</w:t>
      </w:r>
    </w:p>
    <w:tbl>
      <w:tblPr>
        <w:tblW w:w="8642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7"/>
        <w:gridCol w:w="1985"/>
        <w:gridCol w:w="4970"/>
      </w:tblGrid>
      <w:tr w:rsidR="00DD531A" w:rsidRPr="00AA2B95" w:rsidTr="00984399">
        <w:trPr>
          <w:trHeight w:val="592"/>
        </w:trPr>
        <w:tc>
          <w:tcPr>
            <w:tcW w:w="3672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531A" w:rsidRPr="00AA2B95" w:rsidRDefault="00DD531A" w:rsidP="00DC47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1" w:name="Po_suspend_lof_table"/>
            <w:r w:rsidRPr="00AA2B95">
              <w:rPr>
                <w:rFonts w:ascii="仿宋" w:eastAsia="仿宋" w:hAnsi="仿宋" w:cs="宋体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49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531A" w:rsidRPr="00AA2B95" w:rsidRDefault="00984399" w:rsidP="00DC47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天弘恒生科技交易型开放式指数证券投资基金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(QDII)</w:t>
            </w:r>
          </w:p>
        </w:tc>
      </w:tr>
      <w:tr w:rsidR="00DD531A" w:rsidRPr="00AA2B95" w:rsidTr="00984399">
        <w:trPr>
          <w:trHeight w:val="209"/>
        </w:trPr>
        <w:tc>
          <w:tcPr>
            <w:tcW w:w="3672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531A" w:rsidRPr="00AA2B95" w:rsidRDefault="00DD531A" w:rsidP="00DC47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A2B95">
              <w:rPr>
                <w:rFonts w:ascii="仿宋" w:eastAsia="仿宋" w:hAnsi="仿宋" w:cs="宋体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49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531A" w:rsidRPr="00AA2B95" w:rsidRDefault="00984399" w:rsidP="00DC47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天弘恒生科技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ETF</w:t>
            </w:r>
          </w:p>
        </w:tc>
      </w:tr>
      <w:tr w:rsidR="00DD531A" w:rsidRPr="00AA2B95" w:rsidTr="00984399">
        <w:trPr>
          <w:trHeight w:val="301"/>
        </w:trPr>
        <w:tc>
          <w:tcPr>
            <w:tcW w:w="3672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531A" w:rsidRPr="00AA2B95" w:rsidRDefault="00DD531A" w:rsidP="00DC47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A2B95">
              <w:rPr>
                <w:rFonts w:ascii="仿宋" w:eastAsia="仿宋" w:hAnsi="仿宋" w:cs="宋体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49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531A" w:rsidRPr="00AA2B95" w:rsidRDefault="00984399" w:rsidP="00DC47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520920</w:t>
            </w:r>
          </w:p>
        </w:tc>
      </w:tr>
      <w:tr w:rsidR="00DD531A" w:rsidRPr="00AA2B95" w:rsidTr="00984399">
        <w:trPr>
          <w:trHeight w:val="110"/>
        </w:trPr>
        <w:tc>
          <w:tcPr>
            <w:tcW w:w="3672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531A" w:rsidRPr="00AA2B95" w:rsidRDefault="00DD531A" w:rsidP="00DC47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A2B95">
              <w:rPr>
                <w:rFonts w:ascii="仿宋" w:eastAsia="仿宋" w:hAnsi="仿宋" w:cs="宋体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49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531A" w:rsidRPr="00AA2B95" w:rsidRDefault="00DD531A" w:rsidP="00DC47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A2B95">
              <w:rPr>
                <w:rFonts w:ascii="仿宋" w:eastAsia="仿宋" w:hAnsi="仿宋" w:cs="宋体"/>
                <w:kern w:val="0"/>
                <w:sz w:val="24"/>
                <w:szCs w:val="24"/>
              </w:rPr>
              <w:t>天弘基金管理有限公司</w:t>
            </w:r>
          </w:p>
        </w:tc>
      </w:tr>
      <w:tr w:rsidR="00DD531A" w:rsidRPr="00AA2B95" w:rsidTr="00984399">
        <w:trPr>
          <w:trHeight w:val="2185"/>
        </w:trPr>
        <w:tc>
          <w:tcPr>
            <w:tcW w:w="3672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531A" w:rsidRPr="00AA2B95" w:rsidRDefault="00DD531A" w:rsidP="00DC47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A2B95">
              <w:rPr>
                <w:rFonts w:ascii="仿宋" w:eastAsia="仿宋" w:hAnsi="仿宋" w:cs="宋体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49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531A" w:rsidRPr="00AA2B95" w:rsidRDefault="00DD531A" w:rsidP="00DC47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A2B95">
              <w:rPr>
                <w:rFonts w:ascii="仿宋" w:eastAsia="仿宋" w:hAnsi="仿宋" w:cs="宋体"/>
                <w:kern w:val="0"/>
                <w:sz w:val="24"/>
                <w:szCs w:val="24"/>
              </w:rPr>
              <w:t>《中华人民共和国证券投资基金法》、《公开募集证券投资基金运作管理办法》等相关法律法规以及《</w:t>
            </w:r>
            <w:r w:rsidR="009843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天弘恒生科技交易型开放式指数证券投资基金</w:t>
            </w:r>
            <w:r w:rsidR="00984399">
              <w:rPr>
                <w:rFonts w:ascii="仿宋" w:eastAsia="仿宋" w:hAnsi="仿宋" w:cs="宋体"/>
                <w:kern w:val="0"/>
                <w:sz w:val="24"/>
                <w:szCs w:val="24"/>
              </w:rPr>
              <w:t>(QDII)</w:t>
            </w:r>
            <w:r w:rsidR="00EB17D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基金</w:t>
            </w:r>
            <w:r w:rsidRPr="00AA2B95">
              <w:rPr>
                <w:rFonts w:ascii="仿宋" w:eastAsia="仿宋" w:hAnsi="仿宋" w:cs="宋体"/>
                <w:kern w:val="0"/>
                <w:sz w:val="24"/>
                <w:szCs w:val="24"/>
              </w:rPr>
              <w:t>合同》、《</w:t>
            </w:r>
            <w:r w:rsidR="009843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天弘恒生科技交易型开放式指数证券投资基金</w:t>
            </w:r>
            <w:r w:rsidR="00984399">
              <w:rPr>
                <w:rFonts w:ascii="仿宋" w:eastAsia="仿宋" w:hAnsi="仿宋" w:cs="宋体"/>
                <w:kern w:val="0"/>
                <w:sz w:val="24"/>
                <w:szCs w:val="24"/>
              </w:rPr>
              <w:t>(QDII)</w:t>
            </w:r>
            <w:r w:rsidRPr="00AA2B95">
              <w:rPr>
                <w:rFonts w:ascii="仿宋" w:eastAsia="仿宋" w:hAnsi="仿宋" w:cs="宋体"/>
                <w:kern w:val="0"/>
                <w:sz w:val="24"/>
                <w:szCs w:val="24"/>
              </w:rPr>
              <w:t>招募说明书》等相关文件</w:t>
            </w:r>
          </w:p>
        </w:tc>
      </w:tr>
      <w:tr w:rsidR="00DD531A" w:rsidRPr="00AA2B95" w:rsidTr="00984399">
        <w:trPr>
          <w:trHeight w:val="496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531A" w:rsidRPr="00AA2B95" w:rsidRDefault="00DD531A" w:rsidP="00E90A27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A2B95">
              <w:rPr>
                <w:rFonts w:ascii="仿宋" w:eastAsia="仿宋" w:hAnsi="仿宋" w:cs="宋体"/>
                <w:kern w:val="0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531A" w:rsidRPr="00AA2B95" w:rsidRDefault="00DD531A" w:rsidP="00DC47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A2B95">
              <w:rPr>
                <w:rFonts w:ascii="仿宋" w:eastAsia="仿宋" w:hAnsi="仿宋" w:cs="宋体"/>
                <w:kern w:val="0"/>
                <w:sz w:val="24"/>
                <w:szCs w:val="24"/>
              </w:rPr>
              <w:t>暂停申购起始日</w:t>
            </w:r>
          </w:p>
        </w:tc>
        <w:tc>
          <w:tcPr>
            <w:tcW w:w="49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531A" w:rsidRPr="00614559" w:rsidRDefault="00984399" w:rsidP="00DC47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2025年12月31日</w:t>
            </w:r>
          </w:p>
        </w:tc>
      </w:tr>
      <w:tr w:rsidR="00DD531A" w:rsidRPr="00AA2B95" w:rsidTr="00984399">
        <w:trPr>
          <w:trHeight w:val="539"/>
        </w:trPr>
        <w:tc>
          <w:tcPr>
            <w:tcW w:w="1687" w:type="dxa"/>
            <w:vMerge/>
            <w:shd w:val="clear" w:color="auto" w:fill="FFFFFF"/>
            <w:vAlign w:val="center"/>
            <w:hideMark/>
          </w:tcPr>
          <w:p w:rsidR="00DD531A" w:rsidRPr="00AA2B95" w:rsidRDefault="00DD531A" w:rsidP="00DC47B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531A" w:rsidRPr="00AA2B95" w:rsidRDefault="00DD531A" w:rsidP="00DC47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A2B95">
              <w:rPr>
                <w:rFonts w:ascii="仿宋" w:eastAsia="仿宋" w:hAnsi="仿宋" w:cs="宋体"/>
                <w:kern w:val="0"/>
                <w:sz w:val="24"/>
                <w:szCs w:val="24"/>
              </w:rPr>
              <w:t>暂停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赎回</w:t>
            </w:r>
            <w:r w:rsidRPr="00AA2B95">
              <w:rPr>
                <w:rFonts w:ascii="仿宋" w:eastAsia="仿宋" w:hAnsi="仿宋" w:cs="宋体"/>
                <w:kern w:val="0"/>
                <w:sz w:val="24"/>
                <w:szCs w:val="24"/>
              </w:rPr>
              <w:t>起始日</w:t>
            </w:r>
          </w:p>
        </w:tc>
        <w:tc>
          <w:tcPr>
            <w:tcW w:w="49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531A" w:rsidRPr="00614559" w:rsidRDefault="00984399" w:rsidP="00DC47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2025年12月31日</w:t>
            </w:r>
          </w:p>
        </w:tc>
      </w:tr>
      <w:tr w:rsidR="00FF0F14" w:rsidRPr="00AA2B95" w:rsidTr="00984399">
        <w:trPr>
          <w:trHeight w:val="705"/>
        </w:trPr>
        <w:tc>
          <w:tcPr>
            <w:tcW w:w="1687" w:type="dxa"/>
            <w:vMerge/>
            <w:shd w:val="clear" w:color="auto" w:fill="FFFFFF"/>
            <w:vAlign w:val="center"/>
            <w:hideMark/>
          </w:tcPr>
          <w:p w:rsidR="00FF0F14" w:rsidRPr="00AA2B95" w:rsidRDefault="00FF0F14" w:rsidP="00FF0F1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0F14" w:rsidRPr="00240987" w:rsidRDefault="00FF0F14" w:rsidP="00FF0F14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4098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暂停</w:t>
            </w:r>
            <w:r w:rsidR="009843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申购及赎回</w:t>
            </w:r>
            <w:r w:rsidRPr="0024098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的原因说明</w:t>
            </w:r>
          </w:p>
        </w:tc>
        <w:tc>
          <w:tcPr>
            <w:tcW w:w="49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0F14" w:rsidRPr="00AA2B95" w:rsidRDefault="00984399" w:rsidP="00FF0F14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2025年12月31日下午</w:t>
            </w:r>
            <w:r w:rsidRPr="007B24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港股通不提供服务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bookmarkEnd w:id="1"/>
    <w:p w:rsidR="00B732DF" w:rsidRDefault="00984399" w:rsidP="00DD531A">
      <w:pPr>
        <w:widowControl/>
        <w:shd w:val="clear" w:color="auto" w:fill="FFFFFF"/>
        <w:spacing w:line="360" w:lineRule="auto"/>
        <w:ind w:firstLine="360"/>
        <w:rPr>
          <w:rFonts w:ascii="仿宋" w:eastAsia="仿宋" w:hAnsi="仿宋" w:cs="宋体"/>
          <w:kern w:val="0"/>
          <w:sz w:val="24"/>
          <w:szCs w:val="24"/>
        </w:rPr>
      </w:pPr>
      <w:r w:rsidRPr="00984399">
        <w:rPr>
          <w:rFonts w:ascii="仿宋" w:eastAsia="仿宋" w:hAnsi="仿宋" w:cs="宋体" w:hint="eastAsia"/>
          <w:kern w:val="0"/>
          <w:sz w:val="24"/>
          <w:szCs w:val="24"/>
        </w:rPr>
        <w:t>注：天弘恒生科技交易型开放式指数证券投资基金</w:t>
      </w:r>
      <w:r w:rsidRPr="00984399">
        <w:rPr>
          <w:rFonts w:ascii="仿宋" w:eastAsia="仿宋" w:hAnsi="仿宋" w:cs="宋体"/>
          <w:kern w:val="0"/>
          <w:sz w:val="24"/>
          <w:szCs w:val="24"/>
        </w:rPr>
        <w:t>(QDII)场内简称：“恒生科技ETF天弘”。</w:t>
      </w:r>
    </w:p>
    <w:p w:rsidR="00984399" w:rsidRPr="009D2FA4" w:rsidRDefault="00984399" w:rsidP="00DD531A">
      <w:pPr>
        <w:widowControl/>
        <w:shd w:val="clear" w:color="auto" w:fill="FFFFFF"/>
        <w:spacing w:line="360" w:lineRule="auto"/>
        <w:ind w:firstLine="360"/>
        <w:rPr>
          <w:rFonts w:ascii="仿宋" w:eastAsia="仿宋" w:hAnsi="仿宋" w:cs="宋体"/>
          <w:kern w:val="0"/>
          <w:sz w:val="24"/>
          <w:szCs w:val="24"/>
        </w:rPr>
      </w:pPr>
    </w:p>
    <w:p w:rsidR="00DD531A" w:rsidRPr="00AA2B95" w:rsidRDefault="00DD531A" w:rsidP="00DD531A">
      <w:pPr>
        <w:widowControl/>
        <w:shd w:val="clear" w:color="auto" w:fill="FFFFFF"/>
        <w:spacing w:line="360" w:lineRule="auto"/>
        <w:ind w:firstLine="360"/>
        <w:rPr>
          <w:rFonts w:ascii="仿宋" w:eastAsia="仿宋" w:hAnsi="仿宋" w:cs="宋体"/>
          <w:b/>
          <w:kern w:val="0"/>
          <w:sz w:val="24"/>
          <w:szCs w:val="24"/>
        </w:rPr>
      </w:pPr>
      <w:r w:rsidRPr="00AA2B95">
        <w:rPr>
          <w:rFonts w:ascii="仿宋" w:eastAsia="仿宋" w:hAnsi="仿宋" w:cs="宋体"/>
          <w:b/>
          <w:kern w:val="0"/>
          <w:sz w:val="24"/>
          <w:szCs w:val="24"/>
        </w:rPr>
        <w:t>2.其他需要提示的事项</w:t>
      </w:r>
    </w:p>
    <w:p w:rsidR="00DD531A" w:rsidRPr="009C3F14" w:rsidRDefault="00DD531A" w:rsidP="00DD531A">
      <w:pPr>
        <w:widowControl/>
        <w:shd w:val="clear" w:color="auto" w:fill="FFFFFF"/>
        <w:spacing w:line="360" w:lineRule="auto"/>
        <w:ind w:firstLine="360"/>
        <w:rPr>
          <w:rFonts w:ascii="仿宋" w:eastAsia="仿宋" w:hAnsi="仿宋" w:cs="宋体"/>
          <w:kern w:val="0"/>
          <w:sz w:val="24"/>
          <w:szCs w:val="24"/>
        </w:rPr>
      </w:pPr>
      <w:r w:rsidRPr="00252092">
        <w:rPr>
          <w:rFonts w:ascii="仿宋" w:eastAsia="仿宋" w:hAnsi="仿宋" w:cs="宋体" w:hint="eastAsia"/>
          <w:kern w:val="0"/>
          <w:sz w:val="24"/>
          <w:szCs w:val="24"/>
        </w:rPr>
        <w:t>（1）</w:t>
      </w:r>
      <w:r w:rsidR="00984399" w:rsidRPr="00984399">
        <w:rPr>
          <w:rFonts w:ascii="仿宋" w:eastAsia="仿宋" w:hAnsi="仿宋" w:cs="宋体"/>
          <w:kern w:val="0"/>
          <w:sz w:val="24"/>
          <w:szCs w:val="24"/>
        </w:rPr>
        <w:t>根据《关于2025年岁末沪港通下港股通交易日安排的通知》、《关于2025年底深港通下的港股通交易日安排的通知》以及天弘恒生科技交易型开放式指数证券投资基金 (QDII)（以下简称“本基金”）的《基金合同》、《招募说明书》中的有关规定“本基金的开放日为上海证券交易所和香港联合交易所的共同交易日（若该交易日为非港股通交易日，则基金管理人有权暂停办理基金份额的申购和赎回业务）”，天弘基金管理有限公司（以下简称“本公司”）决定</w:t>
      </w:r>
      <w:r w:rsidR="00984399">
        <w:rPr>
          <w:rFonts w:ascii="仿宋" w:eastAsia="仿宋" w:hAnsi="仿宋" w:cs="宋体"/>
          <w:kern w:val="0"/>
          <w:sz w:val="24"/>
          <w:szCs w:val="24"/>
        </w:rPr>
        <w:t>2025年12月31日</w:t>
      </w:r>
      <w:r w:rsidRPr="00252092">
        <w:rPr>
          <w:rFonts w:ascii="仿宋" w:eastAsia="仿宋" w:hAnsi="仿宋" w:cs="宋体" w:hint="eastAsia"/>
          <w:kern w:val="0"/>
          <w:sz w:val="24"/>
          <w:szCs w:val="24"/>
        </w:rPr>
        <w:t>暂停</w:t>
      </w:r>
      <w:r w:rsidR="00984399">
        <w:rPr>
          <w:rFonts w:ascii="仿宋" w:eastAsia="仿宋" w:hAnsi="仿宋" w:cs="宋体" w:hint="eastAsia"/>
          <w:kern w:val="0"/>
          <w:sz w:val="24"/>
          <w:szCs w:val="24"/>
        </w:rPr>
        <w:t>办理本基金的申购、赎回</w:t>
      </w:r>
      <w:r w:rsidRPr="00252092">
        <w:rPr>
          <w:rFonts w:ascii="仿宋" w:eastAsia="仿宋" w:hAnsi="仿宋" w:cs="宋体" w:hint="eastAsia"/>
          <w:kern w:val="0"/>
          <w:sz w:val="24"/>
          <w:szCs w:val="24"/>
        </w:rPr>
        <w:t>业务，并</w:t>
      </w:r>
      <w:r w:rsidR="00984399">
        <w:rPr>
          <w:rFonts w:ascii="仿宋" w:eastAsia="仿宋" w:hAnsi="仿宋" w:cs="宋体" w:hint="eastAsia"/>
          <w:kern w:val="0"/>
          <w:sz w:val="24"/>
          <w:szCs w:val="24"/>
        </w:rPr>
        <w:t>将</w:t>
      </w:r>
      <w:r w:rsidRPr="00252092">
        <w:rPr>
          <w:rFonts w:ascii="仿宋" w:eastAsia="仿宋" w:hAnsi="仿宋" w:cs="宋体" w:hint="eastAsia"/>
          <w:kern w:val="0"/>
          <w:sz w:val="24"/>
          <w:szCs w:val="24"/>
        </w:rPr>
        <w:t>于</w:t>
      </w:r>
      <w:r w:rsidR="00984399">
        <w:rPr>
          <w:rFonts w:ascii="仿宋" w:eastAsia="仿宋" w:hAnsi="仿宋" w:cs="宋体"/>
          <w:kern w:val="0"/>
          <w:sz w:val="24"/>
          <w:szCs w:val="24"/>
        </w:rPr>
        <w:t>2026年01月05日</w:t>
      </w:r>
      <w:r w:rsidRPr="00252092">
        <w:rPr>
          <w:rFonts w:ascii="仿宋" w:eastAsia="仿宋" w:hAnsi="仿宋" w:cs="宋体" w:hint="eastAsia"/>
          <w:kern w:val="0"/>
          <w:sz w:val="24"/>
          <w:szCs w:val="24"/>
        </w:rPr>
        <w:t>恢复</w:t>
      </w:r>
      <w:r w:rsidR="00984399">
        <w:rPr>
          <w:rFonts w:ascii="仿宋" w:eastAsia="仿宋" w:hAnsi="仿宋" w:cs="宋体" w:hint="eastAsia"/>
          <w:kern w:val="0"/>
          <w:sz w:val="24"/>
          <w:szCs w:val="24"/>
        </w:rPr>
        <w:t>办理</w:t>
      </w:r>
      <w:r w:rsidR="0048751A">
        <w:rPr>
          <w:rFonts w:ascii="仿宋" w:eastAsia="仿宋" w:hAnsi="仿宋" w:cs="宋体" w:hint="eastAsia"/>
          <w:kern w:val="0"/>
          <w:sz w:val="24"/>
          <w:szCs w:val="24"/>
        </w:rPr>
        <w:t>本基金的</w:t>
      </w:r>
      <w:r w:rsidR="00984399">
        <w:rPr>
          <w:rFonts w:ascii="仿宋" w:eastAsia="仿宋" w:hAnsi="仿宋" w:cs="宋体" w:hint="eastAsia"/>
          <w:kern w:val="0"/>
          <w:sz w:val="24"/>
          <w:szCs w:val="24"/>
        </w:rPr>
        <w:t>申购、赎回</w:t>
      </w:r>
      <w:r w:rsidRPr="00252092">
        <w:rPr>
          <w:rFonts w:ascii="仿宋" w:eastAsia="仿宋" w:hAnsi="仿宋" w:cs="宋体" w:hint="eastAsia"/>
          <w:kern w:val="0"/>
          <w:sz w:val="24"/>
          <w:szCs w:val="24"/>
        </w:rPr>
        <w:t>业务，届时不再另行公告。</w:t>
      </w:r>
    </w:p>
    <w:p w:rsidR="00984399" w:rsidRDefault="00DD531A" w:rsidP="00DD531A">
      <w:pPr>
        <w:widowControl/>
        <w:shd w:val="clear" w:color="auto" w:fill="FFFFFF"/>
        <w:spacing w:line="360" w:lineRule="auto"/>
        <w:ind w:firstLineChars="100" w:firstLine="240"/>
        <w:rPr>
          <w:rFonts w:ascii="仿宋" w:eastAsia="仿宋" w:hAnsi="仿宋" w:cs="宋体"/>
          <w:kern w:val="0"/>
          <w:sz w:val="24"/>
          <w:szCs w:val="24"/>
        </w:rPr>
      </w:pPr>
      <w:r w:rsidRPr="009C3F14">
        <w:rPr>
          <w:rFonts w:ascii="仿宋" w:eastAsia="仿宋" w:hAnsi="仿宋" w:cs="宋体" w:hint="eastAsia"/>
          <w:kern w:val="0"/>
          <w:sz w:val="24"/>
          <w:szCs w:val="24"/>
        </w:rPr>
        <w:t>（2）</w:t>
      </w:r>
      <w:r w:rsidR="00984399" w:rsidRPr="00984399">
        <w:rPr>
          <w:rFonts w:ascii="仿宋" w:eastAsia="仿宋" w:hAnsi="仿宋" w:cs="宋体" w:hint="eastAsia"/>
          <w:kern w:val="0"/>
          <w:sz w:val="24"/>
          <w:szCs w:val="24"/>
        </w:rPr>
        <w:t>在本基金暂停办理申购、赎回业务期间，本基金的二级市场交易等其他业务仍正常办理。</w:t>
      </w:r>
    </w:p>
    <w:p w:rsidR="00DD531A" w:rsidRPr="00AA2B95" w:rsidRDefault="00984399" w:rsidP="00DD531A">
      <w:pPr>
        <w:widowControl/>
        <w:shd w:val="clear" w:color="auto" w:fill="FFFFFF"/>
        <w:spacing w:line="360" w:lineRule="auto"/>
        <w:ind w:firstLineChars="100" w:firstLine="240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24"/>
          <w:szCs w:val="24"/>
        </w:rPr>
        <w:t>（</w:t>
      </w:r>
      <w:r>
        <w:rPr>
          <w:rFonts w:ascii="仿宋" w:eastAsia="仿宋" w:hAnsi="仿宋" w:cs="宋体" w:hint="eastAsia"/>
          <w:kern w:val="0"/>
          <w:sz w:val="24"/>
          <w:szCs w:val="24"/>
        </w:rPr>
        <w:t>3</w:t>
      </w:r>
      <w:r>
        <w:rPr>
          <w:rFonts w:ascii="仿宋" w:eastAsia="仿宋" w:hAnsi="仿宋" w:cs="宋体"/>
          <w:kern w:val="0"/>
          <w:sz w:val="24"/>
          <w:szCs w:val="24"/>
        </w:rPr>
        <w:t>）</w:t>
      </w:r>
      <w:r w:rsidR="00DD531A" w:rsidRPr="00AA2B95">
        <w:rPr>
          <w:rFonts w:ascii="仿宋" w:eastAsia="仿宋" w:hAnsi="仿宋" w:cs="宋体"/>
          <w:kern w:val="0"/>
          <w:sz w:val="24"/>
          <w:szCs w:val="24"/>
        </w:rPr>
        <w:t>投资者可登录本公司官方网站（www.thfund.com.cn）或拨打客户服务热线（</w:t>
      </w:r>
      <w:r w:rsidR="00525FC9" w:rsidRPr="00525FC9">
        <w:rPr>
          <w:rFonts w:ascii="仿宋" w:eastAsia="仿宋" w:hAnsi="仿宋" w:cs="宋体"/>
          <w:kern w:val="0"/>
          <w:sz w:val="24"/>
          <w:szCs w:val="24"/>
        </w:rPr>
        <w:t>400-986-8888</w:t>
      </w:r>
      <w:r w:rsidR="00DD531A" w:rsidRPr="00AA2B95">
        <w:rPr>
          <w:rFonts w:ascii="仿宋" w:eastAsia="仿宋" w:hAnsi="仿宋" w:cs="宋体"/>
          <w:kern w:val="0"/>
          <w:sz w:val="24"/>
          <w:szCs w:val="24"/>
        </w:rPr>
        <w:t>）进行详细咨询。</w:t>
      </w:r>
    </w:p>
    <w:p w:rsidR="00DD531A" w:rsidRDefault="00DD531A" w:rsidP="00DD531A">
      <w:pPr>
        <w:widowControl/>
        <w:shd w:val="clear" w:color="auto" w:fill="FFFFFF"/>
        <w:spacing w:line="360" w:lineRule="auto"/>
        <w:ind w:firstLine="360"/>
        <w:rPr>
          <w:rFonts w:ascii="仿宋" w:eastAsia="仿宋" w:hAnsi="仿宋" w:cs="宋体"/>
          <w:kern w:val="0"/>
          <w:sz w:val="24"/>
          <w:szCs w:val="24"/>
        </w:rPr>
      </w:pPr>
    </w:p>
    <w:p w:rsidR="00DD531A" w:rsidRPr="00E2539E" w:rsidRDefault="00DD531A" w:rsidP="00DD531A">
      <w:pPr>
        <w:widowControl/>
        <w:shd w:val="clear" w:color="auto" w:fill="FFFFFF"/>
        <w:spacing w:line="360" w:lineRule="auto"/>
        <w:ind w:firstLine="360"/>
        <w:rPr>
          <w:rFonts w:ascii="仿宋" w:eastAsia="仿宋" w:hAnsi="仿宋" w:cs="宋体"/>
          <w:b/>
          <w:kern w:val="0"/>
          <w:sz w:val="24"/>
          <w:szCs w:val="24"/>
        </w:rPr>
      </w:pPr>
      <w:r w:rsidRPr="00E2539E">
        <w:rPr>
          <w:rFonts w:ascii="仿宋" w:eastAsia="仿宋" w:hAnsi="仿宋" w:cs="宋体" w:hint="eastAsia"/>
          <w:b/>
          <w:kern w:val="0"/>
          <w:sz w:val="24"/>
          <w:szCs w:val="24"/>
        </w:rPr>
        <w:t>风险提示：</w:t>
      </w:r>
      <w:r w:rsidRPr="00E2539E">
        <w:rPr>
          <w:rFonts w:ascii="仿宋" w:eastAsia="仿宋" w:hAnsi="仿宋" w:cs="宋体"/>
          <w:b/>
          <w:kern w:val="0"/>
          <w:sz w:val="24"/>
          <w:szCs w:val="24"/>
        </w:rPr>
        <w:t xml:space="preserve"> </w:t>
      </w:r>
    </w:p>
    <w:p w:rsidR="00DD531A" w:rsidRDefault="00984399" w:rsidP="00DD531A">
      <w:pPr>
        <w:widowControl/>
        <w:shd w:val="clear" w:color="auto" w:fill="FFFFFF"/>
        <w:spacing w:line="360" w:lineRule="auto"/>
        <w:ind w:firstLine="360"/>
        <w:rPr>
          <w:rFonts w:ascii="仿宋" w:eastAsia="仿宋" w:hAnsi="仿宋" w:cs="宋体"/>
          <w:kern w:val="0"/>
          <w:sz w:val="24"/>
          <w:szCs w:val="24"/>
        </w:rPr>
      </w:pPr>
      <w:r w:rsidRPr="00984399">
        <w:rPr>
          <w:rFonts w:ascii="仿宋" w:eastAsia="仿宋" w:hAnsi="仿宋" w:cs="宋体" w:hint="eastAsia"/>
          <w:kern w:val="0"/>
          <w:sz w:val="24"/>
          <w:szCs w:val="24"/>
        </w:rPr>
        <w:t>本公司承诺以诚实信用、勤勉尽责的原则管理和运用基金资产，但不保证基金一定盈利，也不保证最低收益。投资者投资于本基金时应认真阅读本基金的《基金合同》和《招募说明书》等相关法律文件。</w:t>
      </w:r>
    </w:p>
    <w:p w:rsidR="00DD531A" w:rsidRPr="00AA2B95" w:rsidRDefault="00DD531A" w:rsidP="00DD531A">
      <w:pPr>
        <w:widowControl/>
        <w:shd w:val="clear" w:color="auto" w:fill="FFFFFF"/>
        <w:spacing w:line="360" w:lineRule="auto"/>
        <w:ind w:firstLine="360"/>
        <w:rPr>
          <w:rFonts w:ascii="仿宋" w:eastAsia="仿宋" w:hAnsi="仿宋" w:cs="宋体"/>
          <w:kern w:val="0"/>
          <w:sz w:val="24"/>
          <w:szCs w:val="24"/>
        </w:rPr>
      </w:pPr>
      <w:r w:rsidRPr="00AA2B95">
        <w:rPr>
          <w:rFonts w:ascii="仿宋" w:eastAsia="仿宋" w:hAnsi="仿宋" w:cs="宋体"/>
          <w:kern w:val="0"/>
          <w:sz w:val="24"/>
          <w:szCs w:val="24"/>
        </w:rPr>
        <w:t>特此公告。</w:t>
      </w:r>
    </w:p>
    <w:p w:rsidR="00DD531A" w:rsidRDefault="00DD531A" w:rsidP="00DD531A">
      <w:pPr>
        <w:widowControl/>
        <w:shd w:val="clear" w:color="auto" w:fill="FFFFFF"/>
        <w:spacing w:line="360" w:lineRule="auto"/>
        <w:ind w:firstLine="360"/>
        <w:rPr>
          <w:rFonts w:ascii="Calibri" w:eastAsia="仿宋" w:hAnsi="Calibri" w:cs="Calibri"/>
          <w:kern w:val="0"/>
          <w:sz w:val="24"/>
          <w:szCs w:val="24"/>
        </w:rPr>
      </w:pPr>
      <w:r w:rsidRPr="00AA2B95">
        <w:rPr>
          <w:rFonts w:ascii="Calibri" w:eastAsia="仿宋" w:hAnsi="Calibri" w:cs="Calibri"/>
          <w:kern w:val="0"/>
          <w:sz w:val="24"/>
          <w:szCs w:val="24"/>
        </w:rPr>
        <w:t> </w:t>
      </w:r>
    </w:p>
    <w:p w:rsidR="00DD531A" w:rsidRPr="00AA2B95" w:rsidRDefault="00DD531A" w:rsidP="00DD531A">
      <w:pPr>
        <w:widowControl/>
        <w:shd w:val="clear" w:color="auto" w:fill="FFFFFF"/>
        <w:spacing w:line="360" w:lineRule="auto"/>
        <w:ind w:firstLine="360"/>
        <w:rPr>
          <w:rFonts w:ascii="仿宋" w:eastAsia="仿宋" w:hAnsi="仿宋" w:cs="宋体"/>
          <w:kern w:val="0"/>
          <w:sz w:val="24"/>
          <w:szCs w:val="24"/>
        </w:rPr>
      </w:pPr>
    </w:p>
    <w:p w:rsidR="00DD531A" w:rsidRPr="00AA2B95" w:rsidRDefault="00DD531A" w:rsidP="00DD531A">
      <w:pPr>
        <w:widowControl/>
        <w:shd w:val="clear" w:color="auto" w:fill="FFFFFF"/>
        <w:spacing w:line="360" w:lineRule="auto"/>
        <w:jc w:val="right"/>
        <w:rPr>
          <w:rFonts w:ascii="仿宋" w:eastAsia="仿宋" w:hAnsi="仿宋" w:cs="宋体"/>
          <w:kern w:val="0"/>
          <w:sz w:val="24"/>
          <w:szCs w:val="24"/>
        </w:rPr>
      </w:pPr>
      <w:r w:rsidRPr="00AA2B95">
        <w:rPr>
          <w:rFonts w:ascii="仿宋" w:eastAsia="仿宋" w:hAnsi="仿宋" w:cs="宋体"/>
          <w:kern w:val="0"/>
          <w:sz w:val="24"/>
          <w:szCs w:val="24"/>
        </w:rPr>
        <w:lastRenderedPageBreak/>
        <w:t>天弘基金管理有限公司</w:t>
      </w:r>
    </w:p>
    <w:p w:rsidR="00DD531A" w:rsidRPr="00AA2B95" w:rsidRDefault="00984399" w:rsidP="00DD531A">
      <w:pPr>
        <w:widowControl/>
        <w:shd w:val="clear" w:color="auto" w:fill="FFFFFF"/>
        <w:spacing w:line="360" w:lineRule="auto"/>
        <w:jc w:val="righ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二〇二五年十二月三十日</w:t>
      </w:r>
    </w:p>
    <w:p w:rsidR="00B521D4" w:rsidRDefault="00B521D4"/>
    <w:sectPr w:rsidR="00B521D4" w:rsidSect="00407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FFE" w:rsidRDefault="00A40FFE" w:rsidP="00DD531A">
      <w:r>
        <w:separator/>
      </w:r>
    </w:p>
  </w:endnote>
  <w:endnote w:type="continuationSeparator" w:id="0">
    <w:p w:rsidR="00A40FFE" w:rsidRDefault="00A40FFE" w:rsidP="00DD5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FFE" w:rsidRDefault="00A40FFE" w:rsidP="00DD531A">
      <w:r>
        <w:separator/>
      </w:r>
    </w:p>
  </w:footnote>
  <w:footnote w:type="continuationSeparator" w:id="0">
    <w:p w:rsidR="00A40FFE" w:rsidRDefault="00A40FFE" w:rsidP="00DD53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5D3"/>
    <w:rsid w:val="00044A48"/>
    <w:rsid w:val="00147B80"/>
    <w:rsid w:val="00164734"/>
    <w:rsid w:val="00252092"/>
    <w:rsid w:val="002737A1"/>
    <w:rsid w:val="003D23C2"/>
    <w:rsid w:val="00407199"/>
    <w:rsid w:val="0048751A"/>
    <w:rsid w:val="00525FC9"/>
    <w:rsid w:val="005D2D58"/>
    <w:rsid w:val="00620DB0"/>
    <w:rsid w:val="006A071E"/>
    <w:rsid w:val="006C63B4"/>
    <w:rsid w:val="00721918"/>
    <w:rsid w:val="00735581"/>
    <w:rsid w:val="00984399"/>
    <w:rsid w:val="009D2FA4"/>
    <w:rsid w:val="00A40FFE"/>
    <w:rsid w:val="00AC0C31"/>
    <w:rsid w:val="00AE55D3"/>
    <w:rsid w:val="00B521D4"/>
    <w:rsid w:val="00B732DF"/>
    <w:rsid w:val="00B8003F"/>
    <w:rsid w:val="00DD531A"/>
    <w:rsid w:val="00E5523C"/>
    <w:rsid w:val="00E90A27"/>
    <w:rsid w:val="00EB17D3"/>
    <w:rsid w:val="00F87B6D"/>
    <w:rsid w:val="00FB5FCC"/>
    <w:rsid w:val="00FF0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3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31A"/>
    <w:rPr>
      <w:sz w:val="18"/>
      <w:szCs w:val="18"/>
    </w:rPr>
  </w:style>
  <w:style w:type="character" w:styleId="a5">
    <w:name w:val="annotation reference"/>
    <w:basedOn w:val="a0"/>
    <w:uiPriority w:val="99"/>
    <w:unhideWhenUsed/>
    <w:rsid w:val="00DD531A"/>
    <w:rPr>
      <w:sz w:val="21"/>
      <w:szCs w:val="21"/>
    </w:rPr>
  </w:style>
  <w:style w:type="paragraph" w:styleId="a6">
    <w:name w:val="annotation text"/>
    <w:basedOn w:val="a"/>
    <w:link w:val="Char1"/>
    <w:uiPriority w:val="99"/>
    <w:unhideWhenUsed/>
    <w:qFormat/>
    <w:rsid w:val="00DD531A"/>
    <w:pPr>
      <w:jc w:val="left"/>
    </w:pPr>
  </w:style>
  <w:style w:type="character" w:customStyle="1" w:styleId="Char1">
    <w:name w:val="批注文字 Char"/>
    <w:basedOn w:val="a0"/>
    <w:link w:val="a6"/>
    <w:uiPriority w:val="99"/>
    <w:qFormat/>
    <w:rsid w:val="00DD531A"/>
  </w:style>
  <w:style w:type="paragraph" w:styleId="a7">
    <w:name w:val="Balloon Text"/>
    <w:basedOn w:val="a"/>
    <w:link w:val="Char2"/>
    <w:uiPriority w:val="99"/>
    <w:semiHidden/>
    <w:unhideWhenUsed/>
    <w:rsid w:val="00DD531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D53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828</Characters>
  <Application>Microsoft Office Word</Application>
  <DocSecurity>4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兰静阳</dc:creator>
  <cp:keywords/>
  <dc:description/>
  <cp:lastModifiedBy>ZHONGM</cp:lastModifiedBy>
  <cp:revision>2</cp:revision>
  <dcterms:created xsi:type="dcterms:W3CDTF">2025-12-29T16:03:00Z</dcterms:created>
  <dcterms:modified xsi:type="dcterms:W3CDTF">2025-12-29T16:03:00Z</dcterms:modified>
</cp:coreProperties>
</file>