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88" w:rsidRPr="00653A88" w:rsidRDefault="00653A88" w:rsidP="00653A88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653A88">
        <w:rPr>
          <w:rFonts w:asciiTheme="minorEastAsia" w:hAnsiTheme="minorEastAsia" w:hint="eastAsia"/>
          <w:b/>
          <w:sz w:val="24"/>
          <w:szCs w:val="24"/>
        </w:rPr>
        <w:t>诺德基金管理有限公司</w:t>
      </w:r>
    </w:p>
    <w:p w:rsidR="00146EAF" w:rsidRPr="00653A88" w:rsidRDefault="00216FC7" w:rsidP="006205B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216FC7">
        <w:rPr>
          <w:rFonts w:asciiTheme="minorEastAsia" w:hAnsiTheme="minorEastAsia" w:hint="eastAsia"/>
          <w:b/>
          <w:sz w:val="24"/>
          <w:szCs w:val="24"/>
        </w:rPr>
        <w:t>关于旗下部分基金</w:t>
      </w:r>
      <w:r w:rsidR="00296611">
        <w:rPr>
          <w:rFonts w:asciiTheme="minorEastAsia" w:hAnsiTheme="minorEastAsia" w:hint="eastAsia"/>
          <w:b/>
          <w:sz w:val="24"/>
          <w:szCs w:val="24"/>
        </w:rPr>
        <w:t>2026年</w:t>
      </w:r>
      <w:r w:rsidRPr="00216FC7">
        <w:rPr>
          <w:rFonts w:asciiTheme="minorEastAsia" w:hAnsiTheme="minorEastAsia" w:hint="eastAsia"/>
          <w:b/>
          <w:sz w:val="24"/>
          <w:szCs w:val="24"/>
        </w:rPr>
        <w:t>非港股通交易日</w:t>
      </w:r>
      <w:r w:rsidR="00C52A72" w:rsidRPr="00C52A72">
        <w:rPr>
          <w:rFonts w:asciiTheme="minorEastAsia" w:hAnsiTheme="minorEastAsia" w:hint="eastAsia"/>
          <w:b/>
          <w:sz w:val="24"/>
          <w:szCs w:val="24"/>
        </w:rPr>
        <w:t>暂停申购、赎回、转换和定期定额投资业务的公告</w:t>
      </w:r>
    </w:p>
    <w:p w:rsidR="00653A88" w:rsidRPr="00653A88" w:rsidRDefault="00653A88" w:rsidP="00653A88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653A88" w:rsidRPr="00653A88" w:rsidRDefault="00653A88" w:rsidP="006B27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为保障基金平稳运作，</w:t>
      </w:r>
      <w:r w:rsidRPr="00653A88">
        <w:rPr>
          <w:rFonts w:asciiTheme="minorEastAsia" w:hAnsiTheme="minorEastAsia"/>
          <w:sz w:val="24"/>
          <w:szCs w:val="24"/>
        </w:rPr>
        <w:t>保护持有人利益，依据</w:t>
      </w:r>
      <w:r w:rsidR="00296611" w:rsidRPr="006B2799">
        <w:rPr>
          <w:rFonts w:asciiTheme="minorEastAsia" w:hAnsiTheme="minorEastAsia" w:hint="eastAsia"/>
          <w:sz w:val="24"/>
          <w:szCs w:val="24"/>
        </w:rPr>
        <w:t>《关于</w:t>
      </w:r>
      <w:r w:rsidR="00296611" w:rsidRPr="006B2799">
        <w:rPr>
          <w:rFonts w:asciiTheme="minorEastAsia" w:hAnsiTheme="minorEastAsia"/>
          <w:sz w:val="24"/>
          <w:szCs w:val="24"/>
        </w:rPr>
        <w:t>2026</w:t>
      </w:r>
      <w:r w:rsidR="00296611" w:rsidRPr="006B2799">
        <w:rPr>
          <w:rFonts w:asciiTheme="minorEastAsia" w:hAnsiTheme="minorEastAsia" w:hint="eastAsia"/>
          <w:sz w:val="24"/>
          <w:szCs w:val="24"/>
        </w:rPr>
        <w:t>年沪港通下港股通交易日安排的通知》</w:t>
      </w:r>
      <w:r w:rsidR="00296611" w:rsidRPr="00296611">
        <w:rPr>
          <w:rFonts w:asciiTheme="minorEastAsia" w:hAnsiTheme="minorEastAsia" w:hint="eastAsia"/>
          <w:sz w:val="24"/>
          <w:szCs w:val="24"/>
        </w:rPr>
        <w:t>《关于2026年深港通下的港股通交易日有关安排的通知》</w:t>
      </w:r>
      <w:r w:rsidR="00D24331">
        <w:rPr>
          <w:rFonts w:asciiTheme="minorEastAsia" w:hAnsiTheme="minorEastAsia" w:hint="eastAsia"/>
          <w:sz w:val="24"/>
          <w:szCs w:val="24"/>
        </w:rPr>
        <w:t>以及基金</w:t>
      </w:r>
      <w:r w:rsidR="00D24331">
        <w:rPr>
          <w:rFonts w:asciiTheme="minorEastAsia" w:hAnsiTheme="minorEastAsia"/>
          <w:sz w:val="24"/>
          <w:szCs w:val="24"/>
        </w:rPr>
        <w:t>合同等法律文件的</w:t>
      </w:r>
      <w:r w:rsidR="00D24331">
        <w:rPr>
          <w:rFonts w:asciiTheme="minorEastAsia" w:hAnsiTheme="minorEastAsia" w:hint="eastAsia"/>
          <w:sz w:val="24"/>
          <w:szCs w:val="24"/>
        </w:rPr>
        <w:t>有关</w:t>
      </w:r>
      <w:r w:rsidR="00D24331">
        <w:rPr>
          <w:rFonts w:asciiTheme="minorEastAsia" w:hAnsiTheme="minorEastAsia"/>
          <w:sz w:val="24"/>
          <w:szCs w:val="24"/>
        </w:rPr>
        <w:t>规定</w:t>
      </w:r>
      <w:r>
        <w:rPr>
          <w:rFonts w:asciiTheme="minorEastAsia" w:hAnsiTheme="minorEastAsia"/>
          <w:sz w:val="24"/>
          <w:szCs w:val="24"/>
        </w:rPr>
        <w:t>，诺德</w:t>
      </w:r>
      <w:r w:rsidRPr="00653A88">
        <w:rPr>
          <w:rFonts w:asciiTheme="minorEastAsia" w:hAnsiTheme="minorEastAsia"/>
          <w:sz w:val="24"/>
          <w:szCs w:val="24"/>
        </w:rPr>
        <w:t>基金管理有限公司（以下简称“本公司”）决定对处于上海证券交易所和深圳证券交易所交易日的下列</w:t>
      </w:r>
      <w:r w:rsidR="00296611">
        <w:rPr>
          <w:rFonts w:asciiTheme="minorEastAsia" w:hAnsiTheme="minorEastAsia" w:hint="eastAsia"/>
          <w:sz w:val="24"/>
          <w:szCs w:val="24"/>
        </w:rPr>
        <w:t>2026年</w:t>
      </w:r>
      <w:r w:rsidRPr="00653A88">
        <w:rPr>
          <w:rFonts w:asciiTheme="minorEastAsia" w:hAnsiTheme="minorEastAsia"/>
          <w:sz w:val="24"/>
          <w:szCs w:val="24"/>
        </w:rPr>
        <w:t>非港股通交易日，暂停旗下部分基金办理申购、赎回、转换和</w:t>
      </w:r>
      <w:r w:rsidR="00C52A72">
        <w:rPr>
          <w:rFonts w:asciiTheme="minorEastAsia" w:hAnsiTheme="minorEastAsia"/>
          <w:sz w:val="24"/>
          <w:szCs w:val="24"/>
        </w:rPr>
        <w:t>定</w:t>
      </w:r>
      <w:bookmarkStart w:id="0" w:name="_GoBack"/>
      <w:bookmarkEnd w:id="0"/>
      <w:r w:rsidR="00C52A72">
        <w:rPr>
          <w:rFonts w:asciiTheme="minorEastAsia" w:hAnsiTheme="minorEastAsia"/>
          <w:sz w:val="24"/>
          <w:szCs w:val="24"/>
        </w:rPr>
        <w:t>期定额投资</w:t>
      </w:r>
      <w:r w:rsidRPr="00653A88">
        <w:rPr>
          <w:rFonts w:asciiTheme="minorEastAsia" w:hAnsiTheme="minorEastAsia"/>
          <w:sz w:val="24"/>
          <w:szCs w:val="24"/>
        </w:rPr>
        <w:t>等业务，并自该非港股通交易日的下一开放日恢复日常申购、赎回、转换和</w:t>
      </w:r>
      <w:r w:rsidR="00C52A72">
        <w:rPr>
          <w:rFonts w:asciiTheme="minorEastAsia" w:hAnsiTheme="minorEastAsia"/>
          <w:sz w:val="24"/>
          <w:szCs w:val="24"/>
        </w:rPr>
        <w:t>定期定额投资</w:t>
      </w:r>
      <w:r w:rsidRPr="00653A88">
        <w:rPr>
          <w:rFonts w:asciiTheme="minorEastAsia" w:hAnsiTheme="minorEastAsia"/>
          <w:sz w:val="24"/>
          <w:szCs w:val="24"/>
        </w:rPr>
        <w:t>等业务，届时不再另行公告。</w:t>
      </w:r>
    </w:p>
    <w:p w:rsidR="00653A88" w:rsidRPr="00653A88" w:rsidRDefault="00653A88" w:rsidP="00653A8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3A88">
        <w:rPr>
          <w:rFonts w:asciiTheme="minorEastAsia" w:hAnsiTheme="minorEastAsia"/>
          <w:sz w:val="24"/>
          <w:szCs w:val="24"/>
        </w:rPr>
        <w:t>一、适用基金范围</w:t>
      </w:r>
    </w:p>
    <w:tbl>
      <w:tblPr>
        <w:tblStyle w:val="a3"/>
        <w:tblW w:w="0" w:type="auto"/>
        <w:tblLook w:val="04A0"/>
      </w:tblPr>
      <w:tblGrid>
        <w:gridCol w:w="5807"/>
        <w:gridCol w:w="2489"/>
      </w:tblGrid>
      <w:tr w:rsidR="00653A88" w:rsidTr="00653A88">
        <w:tc>
          <w:tcPr>
            <w:tcW w:w="5807" w:type="dxa"/>
          </w:tcPr>
          <w:p w:rsidR="00653A88" w:rsidRDefault="00653A88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2489" w:type="dxa"/>
          </w:tcPr>
          <w:p w:rsidR="00653A88" w:rsidRDefault="00653A88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基金代码</w:t>
            </w:r>
          </w:p>
        </w:tc>
      </w:tr>
      <w:tr w:rsidR="00653A88" w:rsidTr="00653A88">
        <w:tc>
          <w:tcPr>
            <w:tcW w:w="5807" w:type="dxa"/>
          </w:tcPr>
          <w:p w:rsidR="00653A88" w:rsidRDefault="00653A88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诺德品质消费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6个月持有期混合型证券投资基金</w:t>
            </w:r>
          </w:p>
        </w:tc>
        <w:tc>
          <w:tcPr>
            <w:tcW w:w="2489" w:type="dxa"/>
          </w:tcPr>
          <w:p w:rsidR="00653A88" w:rsidRPr="00653A88" w:rsidRDefault="00653A88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011078</w:t>
            </w:r>
          </w:p>
        </w:tc>
      </w:tr>
      <w:tr w:rsidR="00C86ED3" w:rsidTr="00653A88">
        <w:tc>
          <w:tcPr>
            <w:tcW w:w="5807" w:type="dxa"/>
          </w:tcPr>
          <w:p w:rsidR="00C86ED3" w:rsidRPr="00C86ED3" w:rsidRDefault="00C86ED3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86ED3">
              <w:rPr>
                <w:rFonts w:asciiTheme="minorEastAsia" w:hAnsiTheme="minorEastAsia" w:hint="eastAsia"/>
                <w:sz w:val="24"/>
                <w:szCs w:val="24"/>
              </w:rPr>
              <w:t>诺德优势产业混合型证券投资基金</w:t>
            </w:r>
          </w:p>
        </w:tc>
        <w:tc>
          <w:tcPr>
            <w:tcW w:w="2489" w:type="dxa"/>
          </w:tcPr>
          <w:p w:rsidR="00C86ED3" w:rsidRDefault="00C86ED3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86ED3">
              <w:rPr>
                <w:rFonts w:asciiTheme="minorEastAsia" w:hAnsiTheme="minorEastAsia"/>
                <w:sz w:val="24"/>
                <w:szCs w:val="24"/>
              </w:rPr>
              <w:t>010878</w:t>
            </w:r>
          </w:p>
        </w:tc>
      </w:tr>
      <w:tr w:rsidR="009A29F8" w:rsidTr="00653A88">
        <w:tc>
          <w:tcPr>
            <w:tcW w:w="5807" w:type="dxa"/>
          </w:tcPr>
          <w:p w:rsidR="009A29F8" w:rsidRPr="00C86ED3" w:rsidRDefault="009A29F8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诺德兴远优选一年持有期混合型证券投资基金</w:t>
            </w:r>
          </w:p>
        </w:tc>
        <w:tc>
          <w:tcPr>
            <w:tcW w:w="2489" w:type="dxa"/>
          </w:tcPr>
          <w:p w:rsidR="009A29F8" w:rsidRPr="00C86ED3" w:rsidRDefault="009A29F8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012036</w:t>
            </w:r>
          </w:p>
        </w:tc>
      </w:tr>
      <w:tr w:rsidR="008368F5" w:rsidTr="00653A88">
        <w:tc>
          <w:tcPr>
            <w:tcW w:w="5807" w:type="dxa"/>
          </w:tcPr>
          <w:p w:rsidR="008368F5" w:rsidRDefault="008368F5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诺德价值发现一年持有期混合型证券投资基金</w:t>
            </w:r>
          </w:p>
        </w:tc>
        <w:tc>
          <w:tcPr>
            <w:tcW w:w="2489" w:type="dxa"/>
          </w:tcPr>
          <w:p w:rsidR="008368F5" w:rsidRPr="008368F5" w:rsidRDefault="008368F5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012150</w:t>
            </w:r>
          </w:p>
        </w:tc>
      </w:tr>
      <w:tr w:rsidR="00774DA4" w:rsidTr="00653A88">
        <w:tc>
          <w:tcPr>
            <w:tcW w:w="5807" w:type="dxa"/>
          </w:tcPr>
          <w:p w:rsidR="00774DA4" w:rsidRDefault="00774DA4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诺德量化先锋一年持有期混合型证券投资基金</w:t>
            </w:r>
          </w:p>
        </w:tc>
        <w:tc>
          <w:tcPr>
            <w:tcW w:w="2489" w:type="dxa"/>
          </w:tcPr>
          <w:p w:rsidR="00774DA4" w:rsidRDefault="00774DA4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014020</w:t>
            </w:r>
          </w:p>
        </w:tc>
      </w:tr>
      <w:tr w:rsidR="00C0182C" w:rsidTr="00653A88">
        <w:tc>
          <w:tcPr>
            <w:tcW w:w="5807" w:type="dxa"/>
          </w:tcPr>
          <w:p w:rsidR="00C0182C" w:rsidRDefault="00C0182C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诺德新能源汽车混合型证券投资基金</w:t>
            </w:r>
          </w:p>
        </w:tc>
        <w:tc>
          <w:tcPr>
            <w:tcW w:w="2489" w:type="dxa"/>
          </w:tcPr>
          <w:p w:rsidR="00C0182C" w:rsidRDefault="00C0182C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014829</w:t>
            </w:r>
          </w:p>
        </w:tc>
      </w:tr>
      <w:tr w:rsidR="009C311A" w:rsidTr="00653A88">
        <w:tc>
          <w:tcPr>
            <w:tcW w:w="5807" w:type="dxa"/>
          </w:tcPr>
          <w:p w:rsidR="009C311A" w:rsidRDefault="009C311A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诺德策略回报股票型证券投资基金</w:t>
            </w:r>
          </w:p>
        </w:tc>
        <w:tc>
          <w:tcPr>
            <w:tcW w:w="2489" w:type="dxa"/>
          </w:tcPr>
          <w:p w:rsidR="009C311A" w:rsidRDefault="009C311A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01655</w:t>
            </w:r>
            <w:r w:rsidR="006525A8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1E5783" w:rsidTr="00653A88">
        <w:tc>
          <w:tcPr>
            <w:tcW w:w="5807" w:type="dxa"/>
          </w:tcPr>
          <w:p w:rsidR="001E5783" w:rsidRDefault="001E5783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诺德兴新趋势混合型证券投资基金</w:t>
            </w:r>
          </w:p>
        </w:tc>
        <w:tc>
          <w:tcPr>
            <w:tcW w:w="2489" w:type="dxa"/>
          </w:tcPr>
          <w:p w:rsidR="001E5783" w:rsidRDefault="001E5783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016772</w:t>
            </w:r>
          </w:p>
        </w:tc>
      </w:tr>
      <w:tr w:rsidR="00F20A09" w:rsidTr="00653A88">
        <w:tc>
          <w:tcPr>
            <w:tcW w:w="5807" w:type="dxa"/>
          </w:tcPr>
          <w:p w:rsidR="00F20A09" w:rsidRDefault="00F20A09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F20A09">
              <w:rPr>
                <w:rFonts w:asciiTheme="minorEastAsia" w:hAnsiTheme="minorEastAsia" w:hint="eastAsia"/>
                <w:sz w:val="24"/>
                <w:szCs w:val="24"/>
              </w:rPr>
              <w:t>诺德惠享稳健三个月持有期混合型基金中基金（FOF）</w:t>
            </w:r>
          </w:p>
        </w:tc>
        <w:tc>
          <w:tcPr>
            <w:tcW w:w="2489" w:type="dxa"/>
          </w:tcPr>
          <w:p w:rsidR="00F20A09" w:rsidRDefault="00F20A09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016927</w:t>
            </w:r>
          </w:p>
        </w:tc>
      </w:tr>
      <w:tr w:rsidR="00296611" w:rsidTr="00653A88">
        <w:tc>
          <w:tcPr>
            <w:tcW w:w="5807" w:type="dxa"/>
          </w:tcPr>
          <w:p w:rsidR="00296611" w:rsidRPr="00F20A09" w:rsidRDefault="00296611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296611">
              <w:rPr>
                <w:rFonts w:asciiTheme="minorEastAsia" w:hAnsiTheme="minorEastAsia" w:hint="eastAsia"/>
                <w:sz w:val="24"/>
                <w:szCs w:val="24"/>
              </w:rPr>
              <w:t>诺德华证价值优选50指数型发起式证券投资基金</w:t>
            </w:r>
          </w:p>
        </w:tc>
        <w:tc>
          <w:tcPr>
            <w:tcW w:w="2489" w:type="dxa"/>
          </w:tcPr>
          <w:p w:rsidR="00296611" w:rsidRDefault="00296611" w:rsidP="00653A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023979</w:t>
            </w:r>
          </w:p>
        </w:tc>
      </w:tr>
    </w:tbl>
    <w:p w:rsidR="00653A88" w:rsidRPr="00653A88" w:rsidRDefault="00653A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53A88">
        <w:rPr>
          <w:rFonts w:asciiTheme="minorEastAsia" w:hAnsiTheme="minorEastAsia"/>
          <w:sz w:val="24"/>
          <w:szCs w:val="24"/>
        </w:rPr>
        <w:t>上述基金开放日为上海证券交易所、深圳证券交易所的正常交易日，若该工作日为非港股通交易日，则上述基金不开放交易业务（包括申购、赎回、转换和</w:t>
      </w:r>
      <w:r w:rsidR="00C52A72">
        <w:rPr>
          <w:rFonts w:asciiTheme="minorEastAsia" w:hAnsiTheme="minorEastAsia"/>
          <w:sz w:val="24"/>
          <w:szCs w:val="24"/>
        </w:rPr>
        <w:t>定期定额投资</w:t>
      </w:r>
      <w:r w:rsidRPr="00653A88">
        <w:rPr>
          <w:rFonts w:asciiTheme="minorEastAsia" w:hAnsiTheme="minorEastAsia"/>
          <w:sz w:val="24"/>
          <w:szCs w:val="24"/>
        </w:rPr>
        <w:t>等业务）。</w:t>
      </w:r>
    </w:p>
    <w:p w:rsidR="00653A88" w:rsidRPr="00653A88" w:rsidRDefault="00653A88" w:rsidP="00653A8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3A88">
        <w:rPr>
          <w:rFonts w:asciiTheme="minorEastAsia" w:hAnsiTheme="minorEastAsia"/>
          <w:sz w:val="24"/>
          <w:szCs w:val="24"/>
        </w:rPr>
        <w:t>二、</w:t>
      </w:r>
      <w:r w:rsidR="00296611">
        <w:rPr>
          <w:rFonts w:asciiTheme="minorEastAsia" w:hAnsiTheme="minorEastAsia" w:hint="eastAsia"/>
          <w:sz w:val="24"/>
          <w:szCs w:val="24"/>
        </w:rPr>
        <w:t>2026年</w:t>
      </w:r>
      <w:r w:rsidRPr="00653A88">
        <w:rPr>
          <w:rFonts w:asciiTheme="minorEastAsia" w:hAnsiTheme="minorEastAsia"/>
          <w:sz w:val="24"/>
          <w:szCs w:val="24"/>
        </w:rPr>
        <w:t>非港股通交易日提示如下：</w:t>
      </w:r>
    </w:p>
    <w:tbl>
      <w:tblPr>
        <w:tblStyle w:val="a3"/>
        <w:tblW w:w="0" w:type="auto"/>
        <w:tblLook w:val="04A0"/>
      </w:tblPr>
      <w:tblGrid>
        <w:gridCol w:w="988"/>
        <w:gridCol w:w="6033"/>
      </w:tblGrid>
      <w:tr w:rsidR="00EE4F5E" w:rsidTr="00417D8F">
        <w:tc>
          <w:tcPr>
            <w:tcW w:w="988" w:type="dxa"/>
            <w:vMerge w:val="restart"/>
          </w:tcPr>
          <w:p w:rsidR="00EE4F5E" w:rsidRPr="006B2799" w:rsidRDefault="00EE4F5E" w:rsidP="00653A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2026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年非港股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通交易日</w:t>
            </w:r>
          </w:p>
        </w:tc>
        <w:tc>
          <w:tcPr>
            <w:tcW w:w="6033" w:type="dxa"/>
          </w:tcPr>
          <w:p w:rsidR="00EE4F5E" w:rsidRPr="006B2799" w:rsidRDefault="00EE4F5E" w:rsidP="001C257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lastRenderedPageBreak/>
              <w:t>2026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4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3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E4F5E" w:rsidTr="00417D8F">
        <w:tc>
          <w:tcPr>
            <w:tcW w:w="988" w:type="dxa"/>
            <w:vMerge/>
          </w:tcPr>
          <w:p w:rsidR="00EE4F5E" w:rsidRPr="006B2799" w:rsidRDefault="00EE4F5E" w:rsidP="00653A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33" w:type="dxa"/>
          </w:tcPr>
          <w:p w:rsidR="00EE4F5E" w:rsidRPr="006B2799" w:rsidRDefault="00EE4F5E" w:rsidP="001C257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2026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4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7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E4F5E" w:rsidTr="009B3D4D">
        <w:tc>
          <w:tcPr>
            <w:tcW w:w="988" w:type="dxa"/>
            <w:vMerge/>
          </w:tcPr>
          <w:p w:rsidR="00EE4F5E" w:rsidRPr="006B2799" w:rsidRDefault="00EE4F5E" w:rsidP="00653A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33" w:type="dxa"/>
          </w:tcPr>
          <w:p w:rsidR="00EE4F5E" w:rsidRPr="006B2799" w:rsidRDefault="00EE4F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2026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5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25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E4F5E" w:rsidTr="009B3D4D">
        <w:tc>
          <w:tcPr>
            <w:tcW w:w="988" w:type="dxa"/>
            <w:vMerge/>
          </w:tcPr>
          <w:p w:rsidR="00EE4F5E" w:rsidRPr="006B2799" w:rsidRDefault="00EE4F5E" w:rsidP="00653A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33" w:type="dxa"/>
          </w:tcPr>
          <w:p w:rsidR="00EE4F5E" w:rsidRPr="006B2799" w:rsidRDefault="00EE4F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2026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7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1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E4F5E" w:rsidTr="009B3D4D">
        <w:tc>
          <w:tcPr>
            <w:tcW w:w="988" w:type="dxa"/>
            <w:vMerge/>
          </w:tcPr>
          <w:p w:rsidR="00EE4F5E" w:rsidRPr="006B2799" w:rsidRDefault="00EE4F5E" w:rsidP="00653A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33" w:type="dxa"/>
          </w:tcPr>
          <w:p w:rsidR="00EE4F5E" w:rsidRPr="006B2799" w:rsidRDefault="00EE4F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2026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10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19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E4F5E" w:rsidTr="009B3D4D">
        <w:tc>
          <w:tcPr>
            <w:tcW w:w="988" w:type="dxa"/>
            <w:vMerge/>
          </w:tcPr>
          <w:p w:rsidR="00EE4F5E" w:rsidRPr="00CC5CE4" w:rsidRDefault="00EE4F5E" w:rsidP="00653A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33" w:type="dxa"/>
          </w:tcPr>
          <w:p w:rsidR="00EE4F5E" w:rsidRPr="00CC5CE4" w:rsidRDefault="00EE4F5E">
            <w:pPr>
              <w:spacing w:line="360" w:lineRule="auto"/>
              <w:rPr>
                <w:rFonts w:ascii="宋体" w:eastAsia="宋体" w:hAnsi="宋体" w:cs="TimesNewRomanPSMT"/>
                <w:kern w:val="0"/>
                <w:sz w:val="24"/>
                <w:szCs w:val="24"/>
              </w:rPr>
            </w:pPr>
            <w:r w:rsidRPr="00C70046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2026</w:t>
            </w:r>
            <w:r w:rsidRPr="00C700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C70046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12</w:t>
            </w:r>
            <w:r w:rsidRPr="00C700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24</w:t>
            </w:r>
            <w:r w:rsidRPr="00C700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E4F5E" w:rsidTr="009B3D4D">
        <w:tc>
          <w:tcPr>
            <w:tcW w:w="988" w:type="dxa"/>
            <w:vMerge/>
          </w:tcPr>
          <w:p w:rsidR="00EE4F5E" w:rsidRPr="006B2799" w:rsidRDefault="00EE4F5E" w:rsidP="00653A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33" w:type="dxa"/>
          </w:tcPr>
          <w:p w:rsidR="00EE4F5E" w:rsidRPr="006B2799" w:rsidRDefault="00EE4F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2026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12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B2799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25</w:t>
            </w:r>
            <w:r w:rsidRPr="006B27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E4F5E" w:rsidTr="009B3D4D">
        <w:tc>
          <w:tcPr>
            <w:tcW w:w="988" w:type="dxa"/>
            <w:vMerge/>
          </w:tcPr>
          <w:p w:rsidR="00EE4F5E" w:rsidRPr="00EE4F5E" w:rsidRDefault="00EE4F5E" w:rsidP="00653A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33" w:type="dxa"/>
          </w:tcPr>
          <w:p w:rsidR="00EE4F5E" w:rsidRPr="00CC5CE4" w:rsidRDefault="00EE4F5E">
            <w:pPr>
              <w:spacing w:line="360" w:lineRule="auto"/>
              <w:rPr>
                <w:rFonts w:ascii="宋体" w:eastAsia="宋体" w:hAnsi="宋体" w:cs="TimesNewRomanPSMT"/>
                <w:kern w:val="0"/>
                <w:sz w:val="24"/>
                <w:szCs w:val="24"/>
              </w:rPr>
            </w:pPr>
            <w:r w:rsidRPr="00C70046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2026</w:t>
            </w:r>
            <w:r w:rsidRPr="00C700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C70046"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12</w:t>
            </w:r>
            <w:r w:rsidRPr="00C700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NewRomanPSMT"/>
                <w:kern w:val="0"/>
                <w:sz w:val="24"/>
                <w:szCs w:val="24"/>
              </w:rPr>
              <w:t>31</w:t>
            </w:r>
            <w:r w:rsidRPr="00C700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653A88" w:rsidRDefault="00653A88" w:rsidP="00653A8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3A88">
        <w:rPr>
          <w:rFonts w:asciiTheme="minorEastAsia" w:hAnsiTheme="minorEastAsia"/>
          <w:sz w:val="24"/>
          <w:szCs w:val="24"/>
        </w:rPr>
        <w:t>注：1、上述非港股通交易日已剔除和上海证券交易所、深圳证券交易所休市日重合的日期。当日全天均将不开放基金的申购、赎回、转换、</w:t>
      </w:r>
      <w:r w:rsidR="00C52A72">
        <w:rPr>
          <w:rFonts w:asciiTheme="minorEastAsia" w:hAnsiTheme="minorEastAsia"/>
          <w:sz w:val="24"/>
          <w:szCs w:val="24"/>
        </w:rPr>
        <w:t>定期定额投资</w:t>
      </w:r>
      <w:r w:rsidRPr="00653A88">
        <w:rPr>
          <w:rFonts w:asciiTheme="minorEastAsia" w:hAnsiTheme="minorEastAsia"/>
          <w:sz w:val="24"/>
          <w:szCs w:val="24"/>
        </w:rPr>
        <w:t>等业务。</w:t>
      </w:r>
    </w:p>
    <w:p w:rsidR="00653A88" w:rsidRDefault="00653A88" w:rsidP="00653A8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3A88">
        <w:rPr>
          <w:rFonts w:asciiTheme="minorEastAsia" w:hAnsiTheme="minorEastAsia"/>
          <w:sz w:val="24"/>
          <w:szCs w:val="24"/>
        </w:rPr>
        <w:t>2、如遇上述基金因其他原因暂停申购、赎回、转换、</w:t>
      </w:r>
      <w:r w:rsidR="00C52A72">
        <w:rPr>
          <w:rFonts w:asciiTheme="minorEastAsia" w:hAnsiTheme="minorEastAsia"/>
          <w:sz w:val="24"/>
          <w:szCs w:val="24"/>
        </w:rPr>
        <w:t>定期定额投资</w:t>
      </w:r>
      <w:r w:rsidRPr="00653A88">
        <w:rPr>
          <w:rFonts w:asciiTheme="minorEastAsia" w:hAnsiTheme="minorEastAsia"/>
          <w:sz w:val="24"/>
          <w:szCs w:val="24"/>
        </w:rPr>
        <w:t>等业务的，具体业务办理以相关公告为准。</w:t>
      </w:r>
    </w:p>
    <w:p w:rsidR="00653A88" w:rsidRPr="00653A88" w:rsidRDefault="00653A88" w:rsidP="00653A8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3A88">
        <w:rPr>
          <w:rFonts w:asciiTheme="minorEastAsia" w:hAnsiTheme="minorEastAsia"/>
          <w:sz w:val="24"/>
          <w:szCs w:val="24"/>
        </w:rPr>
        <w:t>三、重要提示</w:t>
      </w:r>
    </w:p>
    <w:p w:rsidR="00C86ED3" w:rsidRDefault="00653A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53A88">
        <w:rPr>
          <w:rFonts w:asciiTheme="minorEastAsia" w:hAnsiTheme="minorEastAsia"/>
          <w:sz w:val="24"/>
          <w:szCs w:val="24"/>
        </w:rPr>
        <w:t>1、</w:t>
      </w:r>
      <w:r w:rsidR="005E2167">
        <w:rPr>
          <w:rFonts w:asciiTheme="minorEastAsia" w:hAnsiTheme="minorEastAsia"/>
          <w:sz w:val="24"/>
          <w:szCs w:val="24"/>
        </w:rPr>
        <w:t>诺德品质消费</w:t>
      </w:r>
      <w:r w:rsidR="005E2167">
        <w:rPr>
          <w:rFonts w:asciiTheme="minorEastAsia" w:hAnsiTheme="minorEastAsia" w:hint="eastAsia"/>
          <w:sz w:val="24"/>
          <w:szCs w:val="24"/>
        </w:rPr>
        <w:t>6个月持有期混合型证券投资基金</w:t>
      </w:r>
      <w:r w:rsidR="004358EF" w:rsidRPr="004358EF">
        <w:rPr>
          <w:rFonts w:asciiTheme="minorEastAsia" w:hAnsiTheme="minorEastAsia" w:hint="eastAsia"/>
          <w:sz w:val="24"/>
          <w:szCs w:val="24"/>
        </w:rPr>
        <w:t>对每份基金份额设置6个月的最短持有期限</w:t>
      </w:r>
      <w:r w:rsidRPr="00653A88">
        <w:rPr>
          <w:rFonts w:asciiTheme="minorEastAsia" w:hAnsiTheme="minorEastAsia"/>
          <w:sz w:val="24"/>
          <w:szCs w:val="24"/>
        </w:rPr>
        <w:t>，投资人每笔认购/申购的基金份额需至少持有满六个月，在六个月持有期内不能提出赎回及转换转出申请。</w:t>
      </w:r>
    </w:p>
    <w:p w:rsidR="009A29F8" w:rsidRDefault="009A29F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2、</w:t>
      </w:r>
      <w:r>
        <w:rPr>
          <w:rFonts w:asciiTheme="minorEastAsia" w:hAnsiTheme="minorEastAsia" w:hint="eastAsia"/>
          <w:sz w:val="24"/>
          <w:szCs w:val="24"/>
        </w:rPr>
        <w:t>诺德兴远优选一年持有期混合型证券投资基金</w:t>
      </w:r>
      <w:r w:rsidR="00B225C4" w:rsidRPr="004358EF">
        <w:rPr>
          <w:rFonts w:asciiTheme="minorEastAsia" w:hAnsiTheme="minorEastAsia" w:hint="eastAsia"/>
          <w:sz w:val="24"/>
          <w:szCs w:val="24"/>
        </w:rPr>
        <w:t>对每份基金份额设置</w:t>
      </w:r>
      <w:r w:rsidR="00B225C4">
        <w:rPr>
          <w:rFonts w:asciiTheme="minorEastAsia" w:hAnsiTheme="minorEastAsia" w:hint="eastAsia"/>
          <w:sz w:val="24"/>
          <w:szCs w:val="24"/>
        </w:rPr>
        <w:t>一年</w:t>
      </w:r>
      <w:r w:rsidR="00B225C4" w:rsidRPr="004358EF">
        <w:rPr>
          <w:rFonts w:asciiTheme="minorEastAsia" w:hAnsiTheme="minorEastAsia" w:hint="eastAsia"/>
          <w:sz w:val="24"/>
          <w:szCs w:val="24"/>
        </w:rPr>
        <w:t>的最短持有期限</w:t>
      </w:r>
      <w:r w:rsidRPr="00653A88">
        <w:rPr>
          <w:rFonts w:asciiTheme="minorEastAsia" w:hAnsiTheme="minorEastAsia"/>
          <w:sz w:val="24"/>
          <w:szCs w:val="24"/>
        </w:rPr>
        <w:t>，投资人每笔认购/</w:t>
      </w:r>
      <w:r>
        <w:rPr>
          <w:rFonts w:asciiTheme="minorEastAsia" w:hAnsiTheme="minorEastAsia"/>
          <w:sz w:val="24"/>
          <w:szCs w:val="24"/>
        </w:rPr>
        <w:t>申购的基金份额需至少持有满一年，在一年</w:t>
      </w:r>
      <w:r w:rsidRPr="00653A88">
        <w:rPr>
          <w:rFonts w:asciiTheme="minorEastAsia" w:hAnsiTheme="minorEastAsia"/>
          <w:sz w:val="24"/>
          <w:szCs w:val="24"/>
        </w:rPr>
        <w:t>持有期内不能提出赎回及转换转出申请。</w:t>
      </w:r>
    </w:p>
    <w:p w:rsidR="008368F5" w:rsidRDefault="008368F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3、诺德价值发现一年持有期混合型证券投资基金</w:t>
      </w:r>
      <w:r w:rsidR="00B225C4" w:rsidRPr="004358EF">
        <w:rPr>
          <w:rFonts w:asciiTheme="minorEastAsia" w:hAnsiTheme="minorEastAsia" w:hint="eastAsia"/>
          <w:sz w:val="24"/>
          <w:szCs w:val="24"/>
        </w:rPr>
        <w:t>对每份基金份额设置</w:t>
      </w:r>
      <w:r w:rsidR="00B225C4">
        <w:rPr>
          <w:rFonts w:asciiTheme="minorEastAsia" w:hAnsiTheme="minorEastAsia" w:hint="eastAsia"/>
          <w:sz w:val="24"/>
          <w:szCs w:val="24"/>
        </w:rPr>
        <w:t>一年</w:t>
      </w:r>
      <w:r w:rsidR="00B225C4" w:rsidRPr="004358EF">
        <w:rPr>
          <w:rFonts w:asciiTheme="minorEastAsia" w:hAnsiTheme="minorEastAsia" w:hint="eastAsia"/>
          <w:sz w:val="24"/>
          <w:szCs w:val="24"/>
        </w:rPr>
        <w:t>的最短持有期限</w:t>
      </w:r>
      <w:r w:rsidRPr="00653A88">
        <w:rPr>
          <w:rFonts w:asciiTheme="minorEastAsia" w:hAnsiTheme="minorEastAsia"/>
          <w:sz w:val="24"/>
          <w:szCs w:val="24"/>
        </w:rPr>
        <w:t>，投资人每笔认购/</w:t>
      </w:r>
      <w:r>
        <w:rPr>
          <w:rFonts w:asciiTheme="minorEastAsia" w:hAnsiTheme="minorEastAsia"/>
          <w:sz w:val="24"/>
          <w:szCs w:val="24"/>
        </w:rPr>
        <w:t>申购的基金份额需至少持有满一年，在一年</w:t>
      </w:r>
      <w:r w:rsidRPr="00653A88">
        <w:rPr>
          <w:rFonts w:asciiTheme="minorEastAsia" w:hAnsiTheme="minorEastAsia"/>
          <w:sz w:val="24"/>
          <w:szCs w:val="24"/>
        </w:rPr>
        <w:t>持有期内不能提出赎回及转换转出申请。</w:t>
      </w:r>
    </w:p>
    <w:p w:rsidR="00774DA4" w:rsidRDefault="00774DA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、诺德量化先锋一年持有期混合型证券投资基金</w:t>
      </w:r>
      <w:r w:rsidR="00C81547" w:rsidRPr="004358EF">
        <w:rPr>
          <w:rFonts w:asciiTheme="minorEastAsia" w:hAnsiTheme="minorEastAsia" w:hint="eastAsia"/>
          <w:sz w:val="24"/>
          <w:szCs w:val="24"/>
        </w:rPr>
        <w:t>对每份基金份额设置</w:t>
      </w:r>
      <w:r w:rsidR="00C81547">
        <w:rPr>
          <w:rFonts w:asciiTheme="minorEastAsia" w:hAnsiTheme="minorEastAsia" w:hint="eastAsia"/>
          <w:sz w:val="24"/>
          <w:szCs w:val="24"/>
        </w:rPr>
        <w:t>一年</w:t>
      </w:r>
      <w:r w:rsidR="00C81547" w:rsidRPr="004358EF">
        <w:rPr>
          <w:rFonts w:asciiTheme="minorEastAsia" w:hAnsiTheme="minorEastAsia" w:hint="eastAsia"/>
          <w:sz w:val="24"/>
          <w:szCs w:val="24"/>
        </w:rPr>
        <w:t>的最短持有期限</w:t>
      </w:r>
      <w:r w:rsidRPr="00653A88">
        <w:rPr>
          <w:rFonts w:asciiTheme="minorEastAsia" w:hAnsiTheme="minorEastAsia"/>
          <w:sz w:val="24"/>
          <w:szCs w:val="24"/>
        </w:rPr>
        <w:t>，投资人每笔认购/</w:t>
      </w:r>
      <w:r>
        <w:rPr>
          <w:rFonts w:asciiTheme="minorEastAsia" w:hAnsiTheme="minorEastAsia"/>
          <w:sz w:val="24"/>
          <w:szCs w:val="24"/>
        </w:rPr>
        <w:t>申购的基金份额需至少持有满一年，在一年</w:t>
      </w:r>
      <w:r w:rsidRPr="00653A88">
        <w:rPr>
          <w:rFonts w:asciiTheme="minorEastAsia" w:hAnsiTheme="minorEastAsia"/>
          <w:sz w:val="24"/>
          <w:szCs w:val="24"/>
        </w:rPr>
        <w:t>持有期内不能提出赎回及转换转出申请。</w:t>
      </w:r>
    </w:p>
    <w:p w:rsidR="00F20A09" w:rsidRPr="00774DA4" w:rsidRDefault="00F20A09" w:rsidP="00F20A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</w:t>
      </w:r>
      <w:r w:rsidRPr="00F20A09">
        <w:rPr>
          <w:rFonts w:asciiTheme="minorEastAsia" w:hAnsiTheme="minorEastAsia" w:hint="eastAsia"/>
          <w:sz w:val="24"/>
          <w:szCs w:val="24"/>
        </w:rPr>
        <w:t>诺德惠享稳健三个月持有期混合型基金中基金（FOF）</w:t>
      </w:r>
      <w:r w:rsidR="00405883" w:rsidRPr="004358EF">
        <w:rPr>
          <w:rFonts w:asciiTheme="minorEastAsia" w:hAnsiTheme="minorEastAsia" w:hint="eastAsia"/>
          <w:sz w:val="24"/>
          <w:szCs w:val="24"/>
        </w:rPr>
        <w:t>对每份基金份额设置</w:t>
      </w:r>
      <w:r w:rsidR="00F80FCB">
        <w:rPr>
          <w:rFonts w:asciiTheme="minorEastAsia" w:hAnsiTheme="minorEastAsia" w:hint="eastAsia"/>
          <w:sz w:val="24"/>
          <w:szCs w:val="24"/>
        </w:rPr>
        <w:t>3</w:t>
      </w:r>
      <w:r w:rsidR="00405883">
        <w:rPr>
          <w:rFonts w:asciiTheme="minorEastAsia" w:hAnsiTheme="minorEastAsia" w:hint="eastAsia"/>
          <w:sz w:val="24"/>
          <w:szCs w:val="24"/>
        </w:rPr>
        <w:t>个月</w:t>
      </w:r>
      <w:r w:rsidR="00405883" w:rsidRPr="004358EF">
        <w:rPr>
          <w:rFonts w:asciiTheme="minorEastAsia" w:hAnsiTheme="minorEastAsia" w:hint="eastAsia"/>
          <w:sz w:val="24"/>
          <w:szCs w:val="24"/>
        </w:rPr>
        <w:t>的最短持有期限</w:t>
      </w:r>
      <w:r w:rsidRPr="00653A88">
        <w:rPr>
          <w:rFonts w:asciiTheme="minorEastAsia" w:hAnsiTheme="minorEastAsia"/>
          <w:sz w:val="24"/>
          <w:szCs w:val="24"/>
        </w:rPr>
        <w:t>，投资人每笔认购/</w:t>
      </w:r>
      <w:r>
        <w:rPr>
          <w:rFonts w:asciiTheme="minorEastAsia" w:hAnsiTheme="minorEastAsia"/>
          <w:sz w:val="24"/>
          <w:szCs w:val="24"/>
        </w:rPr>
        <w:t>申购的基金份额需至少持有满三个月，在三个月</w:t>
      </w:r>
      <w:r w:rsidRPr="00653A88">
        <w:rPr>
          <w:rFonts w:asciiTheme="minorEastAsia" w:hAnsiTheme="minorEastAsia"/>
          <w:sz w:val="24"/>
          <w:szCs w:val="24"/>
        </w:rPr>
        <w:t>持有期内不能提出赎回及转换转出申请。</w:t>
      </w:r>
    </w:p>
    <w:p w:rsidR="005E2167" w:rsidRDefault="00F20A09" w:rsidP="006B27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 w:rsidR="00653A88" w:rsidRPr="00653A88">
        <w:rPr>
          <w:rFonts w:asciiTheme="minorEastAsia" w:hAnsiTheme="minorEastAsia"/>
          <w:sz w:val="24"/>
          <w:szCs w:val="24"/>
        </w:rPr>
        <w:t>、若港股通交易日安排发生变化，本</w:t>
      </w:r>
      <w:r w:rsidR="00D24331">
        <w:rPr>
          <w:rFonts w:asciiTheme="minorEastAsia" w:hAnsiTheme="minorEastAsia" w:hint="eastAsia"/>
          <w:sz w:val="24"/>
          <w:szCs w:val="24"/>
        </w:rPr>
        <w:t>公司</w:t>
      </w:r>
      <w:r w:rsidR="00653A88" w:rsidRPr="00653A88">
        <w:rPr>
          <w:rFonts w:asciiTheme="minorEastAsia" w:hAnsiTheme="minorEastAsia"/>
          <w:sz w:val="24"/>
          <w:szCs w:val="24"/>
        </w:rPr>
        <w:t>将进行相应调整并公告。若境外主要市场状况发生变化，或将来根据法律法规和基金合同的约定需要调整上述安</w:t>
      </w:r>
      <w:r w:rsidR="00653A88" w:rsidRPr="00653A88">
        <w:rPr>
          <w:rFonts w:asciiTheme="minorEastAsia" w:hAnsiTheme="minorEastAsia"/>
          <w:sz w:val="24"/>
          <w:szCs w:val="24"/>
        </w:rPr>
        <w:lastRenderedPageBreak/>
        <w:t>排的，本</w:t>
      </w:r>
      <w:r w:rsidR="00D24331">
        <w:rPr>
          <w:rFonts w:asciiTheme="minorEastAsia" w:hAnsiTheme="minorEastAsia" w:hint="eastAsia"/>
          <w:sz w:val="24"/>
          <w:szCs w:val="24"/>
        </w:rPr>
        <w:t>公司</w:t>
      </w:r>
      <w:r w:rsidR="00653A88" w:rsidRPr="00653A88">
        <w:rPr>
          <w:rFonts w:asciiTheme="minorEastAsia" w:hAnsiTheme="minorEastAsia"/>
          <w:sz w:val="24"/>
          <w:szCs w:val="24"/>
        </w:rPr>
        <w:t>将另行调整并公告。</w:t>
      </w:r>
    </w:p>
    <w:p w:rsidR="005E2167" w:rsidRDefault="00F20A09" w:rsidP="005E216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 w:rsidR="00653A88" w:rsidRPr="00653A88">
        <w:rPr>
          <w:rFonts w:asciiTheme="minorEastAsia" w:hAnsiTheme="minorEastAsia"/>
          <w:sz w:val="24"/>
          <w:szCs w:val="24"/>
        </w:rPr>
        <w:t>、如</w:t>
      </w:r>
      <w:r w:rsidR="005E2167">
        <w:rPr>
          <w:rFonts w:asciiTheme="minorEastAsia" w:hAnsiTheme="minorEastAsia"/>
          <w:sz w:val="24"/>
          <w:szCs w:val="24"/>
        </w:rPr>
        <w:t>有疑问，</w:t>
      </w:r>
      <w:r w:rsidR="00653A88" w:rsidRPr="00653A88">
        <w:rPr>
          <w:rFonts w:asciiTheme="minorEastAsia" w:hAnsiTheme="minorEastAsia"/>
          <w:sz w:val="24"/>
          <w:szCs w:val="24"/>
        </w:rPr>
        <w:t>请拨打</w:t>
      </w:r>
      <w:r w:rsidR="00D24331">
        <w:rPr>
          <w:rFonts w:asciiTheme="minorEastAsia" w:hAnsiTheme="minorEastAsia" w:hint="eastAsia"/>
          <w:sz w:val="24"/>
          <w:szCs w:val="24"/>
        </w:rPr>
        <w:t>本公司</w:t>
      </w:r>
      <w:r w:rsidR="00653A88" w:rsidRPr="00653A88">
        <w:rPr>
          <w:rFonts w:asciiTheme="minorEastAsia" w:hAnsiTheme="minorEastAsia"/>
          <w:sz w:val="24"/>
          <w:szCs w:val="24"/>
        </w:rPr>
        <w:t>客户服务热线：</w:t>
      </w:r>
      <w:r w:rsidR="005E2167">
        <w:rPr>
          <w:rFonts w:asciiTheme="minorEastAsia" w:hAnsiTheme="minorEastAsia" w:hint="eastAsia"/>
          <w:sz w:val="24"/>
          <w:szCs w:val="24"/>
        </w:rPr>
        <w:t>400-888-0009</w:t>
      </w:r>
      <w:r w:rsidR="00653A88" w:rsidRPr="00653A88">
        <w:rPr>
          <w:rFonts w:asciiTheme="minorEastAsia" w:hAnsiTheme="minorEastAsia"/>
          <w:sz w:val="24"/>
          <w:szCs w:val="24"/>
        </w:rPr>
        <w:t>，或登录</w:t>
      </w:r>
      <w:r w:rsidR="00D24331">
        <w:rPr>
          <w:rFonts w:asciiTheme="minorEastAsia" w:hAnsiTheme="minorEastAsia" w:hint="eastAsia"/>
          <w:sz w:val="24"/>
          <w:szCs w:val="24"/>
        </w:rPr>
        <w:t>本公司</w:t>
      </w:r>
      <w:r w:rsidR="00653A88" w:rsidRPr="00653A88">
        <w:rPr>
          <w:rFonts w:asciiTheme="minorEastAsia" w:hAnsiTheme="minorEastAsia"/>
          <w:sz w:val="24"/>
          <w:szCs w:val="24"/>
        </w:rPr>
        <w:t>网站</w:t>
      </w:r>
      <w:r w:rsidR="005E2167" w:rsidRPr="005E2167">
        <w:rPr>
          <w:rFonts w:asciiTheme="minorEastAsia" w:hAnsiTheme="minorEastAsia"/>
          <w:sz w:val="24"/>
          <w:szCs w:val="24"/>
        </w:rPr>
        <w:t>www.nuodefund.com</w:t>
      </w:r>
      <w:r w:rsidR="00653A88" w:rsidRPr="00653A88">
        <w:rPr>
          <w:rFonts w:asciiTheme="minorEastAsia" w:hAnsiTheme="minorEastAsia"/>
          <w:sz w:val="24"/>
          <w:szCs w:val="24"/>
        </w:rPr>
        <w:t>获取相关信息。</w:t>
      </w:r>
    </w:p>
    <w:p w:rsidR="005E2167" w:rsidRDefault="005E2167" w:rsidP="005E216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E2167" w:rsidRDefault="00653A88" w:rsidP="0072185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53A88">
        <w:rPr>
          <w:rFonts w:asciiTheme="minorEastAsia" w:hAnsiTheme="minorEastAsia"/>
          <w:sz w:val="24"/>
          <w:szCs w:val="24"/>
        </w:rPr>
        <w:t>特此公告。</w:t>
      </w:r>
    </w:p>
    <w:p w:rsidR="005E2167" w:rsidRDefault="005E2167" w:rsidP="00C45172">
      <w:pPr>
        <w:spacing w:line="360" w:lineRule="auto"/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诺德</w:t>
      </w:r>
      <w:r w:rsidR="00653A88" w:rsidRPr="00653A88">
        <w:rPr>
          <w:rFonts w:asciiTheme="minorEastAsia" w:hAnsiTheme="minorEastAsia"/>
          <w:sz w:val="24"/>
          <w:szCs w:val="24"/>
        </w:rPr>
        <w:t>基金管理有限公司</w:t>
      </w:r>
    </w:p>
    <w:p w:rsidR="00653A88" w:rsidRPr="00653A88" w:rsidRDefault="005E2167" w:rsidP="00C45172">
      <w:pPr>
        <w:spacing w:line="360" w:lineRule="auto"/>
        <w:ind w:firstLineChars="2200" w:firstLine="52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</w:t>
      </w:r>
      <w:r w:rsidR="00CC5CE4">
        <w:rPr>
          <w:rFonts w:asciiTheme="minorEastAsia" w:hAnsiTheme="minorEastAsia"/>
          <w:sz w:val="24"/>
          <w:szCs w:val="24"/>
        </w:rPr>
        <w:t>5</w:t>
      </w:r>
      <w:r w:rsidR="00653A88" w:rsidRPr="00653A88">
        <w:rPr>
          <w:rFonts w:asciiTheme="minorEastAsia" w:hAnsiTheme="minorEastAsia"/>
          <w:sz w:val="24"/>
          <w:szCs w:val="24"/>
        </w:rPr>
        <w:t>年</w:t>
      </w:r>
      <w:r w:rsidR="00405883">
        <w:rPr>
          <w:rFonts w:asciiTheme="minorEastAsia" w:hAnsiTheme="minorEastAsia"/>
          <w:sz w:val="24"/>
          <w:szCs w:val="24"/>
        </w:rPr>
        <w:t>12</w:t>
      </w:r>
      <w:r w:rsidR="00653A88" w:rsidRPr="00653A88">
        <w:rPr>
          <w:rFonts w:asciiTheme="minorEastAsia" w:hAnsiTheme="minorEastAsia"/>
          <w:sz w:val="24"/>
          <w:szCs w:val="24"/>
        </w:rPr>
        <w:t>月</w:t>
      </w:r>
      <w:r w:rsidR="00CC5CE4">
        <w:rPr>
          <w:rFonts w:asciiTheme="minorEastAsia" w:hAnsiTheme="minorEastAsia"/>
          <w:sz w:val="24"/>
          <w:szCs w:val="24"/>
        </w:rPr>
        <w:t>30</w:t>
      </w:r>
      <w:r w:rsidR="00653A88" w:rsidRPr="00653A88">
        <w:rPr>
          <w:rFonts w:asciiTheme="minorEastAsia" w:hAnsiTheme="minorEastAsia"/>
          <w:sz w:val="24"/>
          <w:szCs w:val="24"/>
        </w:rPr>
        <w:t>日</w:t>
      </w:r>
    </w:p>
    <w:sectPr w:rsidR="00653A88" w:rsidRPr="00653A88" w:rsidSect="00411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5BB" w:rsidRDefault="00E805BB" w:rsidP="009C311A">
      <w:r>
        <w:separator/>
      </w:r>
    </w:p>
  </w:endnote>
  <w:endnote w:type="continuationSeparator" w:id="0">
    <w:p w:rsidR="00E805BB" w:rsidRDefault="00E805BB" w:rsidP="009C3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5BB" w:rsidRDefault="00E805BB" w:rsidP="009C311A">
      <w:r>
        <w:separator/>
      </w:r>
    </w:p>
  </w:footnote>
  <w:footnote w:type="continuationSeparator" w:id="0">
    <w:p w:rsidR="00E805BB" w:rsidRDefault="00E805BB" w:rsidP="009C3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086"/>
    <w:rsid w:val="000929C2"/>
    <w:rsid w:val="00094C40"/>
    <w:rsid w:val="000B0CEB"/>
    <w:rsid w:val="000C7A2B"/>
    <w:rsid w:val="00112C6E"/>
    <w:rsid w:val="00146EAF"/>
    <w:rsid w:val="001614C8"/>
    <w:rsid w:val="001C2572"/>
    <w:rsid w:val="001E5783"/>
    <w:rsid w:val="00216FC7"/>
    <w:rsid w:val="0027325E"/>
    <w:rsid w:val="00276583"/>
    <w:rsid w:val="00296611"/>
    <w:rsid w:val="00375040"/>
    <w:rsid w:val="00375C31"/>
    <w:rsid w:val="003F1508"/>
    <w:rsid w:val="00405883"/>
    <w:rsid w:val="00411A0E"/>
    <w:rsid w:val="00417D8F"/>
    <w:rsid w:val="00431C80"/>
    <w:rsid w:val="004358EF"/>
    <w:rsid w:val="00470672"/>
    <w:rsid w:val="0047390E"/>
    <w:rsid w:val="00597FC5"/>
    <w:rsid w:val="005B688C"/>
    <w:rsid w:val="005E2167"/>
    <w:rsid w:val="00613280"/>
    <w:rsid w:val="006205B2"/>
    <w:rsid w:val="006525A8"/>
    <w:rsid w:val="00653A88"/>
    <w:rsid w:val="006B2799"/>
    <w:rsid w:val="00703C79"/>
    <w:rsid w:val="00721858"/>
    <w:rsid w:val="00774DA4"/>
    <w:rsid w:val="008368F5"/>
    <w:rsid w:val="00957733"/>
    <w:rsid w:val="009A12EF"/>
    <w:rsid w:val="009A29F8"/>
    <w:rsid w:val="009C311A"/>
    <w:rsid w:val="009E2A7C"/>
    <w:rsid w:val="00A35623"/>
    <w:rsid w:val="00AB1AE9"/>
    <w:rsid w:val="00B225C4"/>
    <w:rsid w:val="00B42086"/>
    <w:rsid w:val="00BB7F62"/>
    <w:rsid w:val="00BC658E"/>
    <w:rsid w:val="00BE1B74"/>
    <w:rsid w:val="00C0182C"/>
    <w:rsid w:val="00C219D0"/>
    <w:rsid w:val="00C24C0B"/>
    <w:rsid w:val="00C45172"/>
    <w:rsid w:val="00C471BA"/>
    <w:rsid w:val="00C52A72"/>
    <w:rsid w:val="00C767A7"/>
    <w:rsid w:val="00C81547"/>
    <w:rsid w:val="00C86ED3"/>
    <w:rsid w:val="00CA0CB4"/>
    <w:rsid w:val="00CA2F4A"/>
    <w:rsid w:val="00CC5CE4"/>
    <w:rsid w:val="00D24331"/>
    <w:rsid w:val="00D84537"/>
    <w:rsid w:val="00D91120"/>
    <w:rsid w:val="00E06835"/>
    <w:rsid w:val="00E10318"/>
    <w:rsid w:val="00E34C6D"/>
    <w:rsid w:val="00E805BB"/>
    <w:rsid w:val="00EC2E2B"/>
    <w:rsid w:val="00EE4F5E"/>
    <w:rsid w:val="00F20A09"/>
    <w:rsid w:val="00F66D50"/>
    <w:rsid w:val="00F80FCB"/>
    <w:rsid w:val="00FE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2433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433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C3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31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3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311A"/>
    <w:rPr>
      <w:sz w:val="18"/>
      <w:szCs w:val="18"/>
    </w:rPr>
  </w:style>
  <w:style w:type="paragraph" w:styleId="a7">
    <w:name w:val="Revision"/>
    <w:hidden/>
    <w:uiPriority w:val="99"/>
    <w:semiHidden/>
    <w:rsid w:val="009E2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1323</Characters>
  <Application>Microsoft Office Word</Application>
  <DocSecurity>4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贾丰润</dc:creator>
  <cp:keywords/>
  <dc:description/>
  <cp:lastModifiedBy>ZHONGM</cp:lastModifiedBy>
  <cp:revision>2</cp:revision>
  <dcterms:created xsi:type="dcterms:W3CDTF">2025-12-29T16:02:00Z</dcterms:created>
  <dcterms:modified xsi:type="dcterms:W3CDTF">2025-12-29T16:02:00Z</dcterms:modified>
</cp:coreProperties>
</file>