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7147" w:rsidRDefault="00E67147">
      <w:pPr>
        <w:spacing w:line="620" w:lineRule="exact"/>
        <w:rPr>
          <w:rFonts w:eastAsia="华文中宋"/>
          <w:b/>
          <w:bCs/>
          <w:sz w:val="44"/>
        </w:rPr>
      </w:pPr>
      <w:bookmarkStart w:id="0" w:name="TSendTo"/>
      <w:bookmarkStart w:id="1" w:name="_GoBack"/>
      <w:bookmarkEnd w:id="0"/>
      <w:bookmarkEnd w:id="1"/>
    </w:p>
    <w:p w:rsidR="00E67147" w:rsidRDefault="00952AAD">
      <w:pPr>
        <w:autoSpaceDE w:val="0"/>
        <w:autoSpaceDN w:val="0"/>
        <w:adjustRightInd w:val="0"/>
        <w:spacing w:before="29" w:line="600" w:lineRule="exact"/>
        <w:ind w:left="17"/>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中加智选添元三个月持有期混合型基金中基金（</w:t>
      </w:r>
      <w:r>
        <w:rPr>
          <w:rFonts w:ascii="华文中宋" w:eastAsia="华文中宋" w:hAnsi="华文中宋" w:cs="宋体" w:hint="eastAsia"/>
          <w:b/>
          <w:bCs/>
          <w:color w:val="000000"/>
          <w:kern w:val="0"/>
          <w:sz w:val="44"/>
          <w:szCs w:val="44"/>
        </w:rPr>
        <w:t>FOF</w:t>
      </w:r>
      <w:r>
        <w:rPr>
          <w:rFonts w:ascii="华文中宋" w:eastAsia="华文中宋" w:hAnsi="华文中宋" w:cs="宋体" w:hint="eastAsia"/>
          <w:b/>
          <w:bCs/>
          <w:color w:val="000000"/>
          <w:kern w:val="0"/>
          <w:sz w:val="44"/>
          <w:szCs w:val="44"/>
        </w:rPr>
        <w:t>）基金合同生效公告</w:t>
      </w:r>
    </w:p>
    <w:p w:rsidR="00E67147" w:rsidRDefault="00952AAD">
      <w:pPr>
        <w:autoSpaceDE w:val="0"/>
        <w:autoSpaceDN w:val="0"/>
        <w:adjustRightInd w:val="0"/>
        <w:spacing w:before="29" w:line="288" w:lineRule="auto"/>
        <w:ind w:left="15"/>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公告送出日期：</w:t>
      </w:r>
      <w:r>
        <w:rPr>
          <w:rFonts w:ascii="华文中宋" w:eastAsia="华文中宋" w:hAnsi="华文中宋" w:cs="宋体" w:hint="eastAsia"/>
          <w:color w:val="000000"/>
          <w:kern w:val="0"/>
          <w:sz w:val="32"/>
          <w:szCs w:val="32"/>
        </w:rPr>
        <w:t>202</w:t>
      </w:r>
      <w:r>
        <w:rPr>
          <w:rFonts w:ascii="华文中宋" w:eastAsia="华文中宋" w:hAnsi="华文中宋" w:cs="宋体" w:hint="eastAsia"/>
          <w:color w:val="000000"/>
          <w:kern w:val="0"/>
          <w:sz w:val="32"/>
          <w:szCs w:val="32"/>
        </w:rPr>
        <w:t>5</w:t>
      </w:r>
      <w:r>
        <w:rPr>
          <w:rFonts w:ascii="华文中宋" w:eastAsia="华文中宋" w:hAnsi="华文中宋" w:cs="宋体" w:hint="eastAsia"/>
          <w:color w:val="000000"/>
          <w:kern w:val="0"/>
          <w:sz w:val="32"/>
          <w:szCs w:val="32"/>
        </w:rPr>
        <w:t>年</w:t>
      </w:r>
      <w:r>
        <w:rPr>
          <w:rFonts w:ascii="华文中宋" w:eastAsia="华文中宋" w:hAnsi="华文中宋" w:cs="宋体" w:hint="eastAsia"/>
          <w:color w:val="000000"/>
          <w:kern w:val="0"/>
          <w:sz w:val="32"/>
          <w:szCs w:val="32"/>
        </w:rPr>
        <w:t>12</w:t>
      </w:r>
      <w:r>
        <w:rPr>
          <w:rFonts w:ascii="华文中宋" w:eastAsia="华文中宋" w:hAnsi="华文中宋" w:cs="宋体" w:hint="eastAsia"/>
          <w:color w:val="000000"/>
          <w:kern w:val="0"/>
          <w:sz w:val="32"/>
          <w:szCs w:val="32"/>
        </w:rPr>
        <w:t>月</w:t>
      </w:r>
      <w:r>
        <w:rPr>
          <w:rFonts w:ascii="华文中宋" w:eastAsia="华文中宋" w:hAnsi="华文中宋" w:cs="宋体" w:hint="eastAsia"/>
          <w:color w:val="000000"/>
          <w:kern w:val="0"/>
          <w:sz w:val="32"/>
          <w:szCs w:val="32"/>
        </w:rPr>
        <w:t>30</w:t>
      </w:r>
      <w:r>
        <w:rPr>
          <w:rFonts w:ascii="华文中宋" w:eastAsia="华文中宋" w:hAnsi="华文中宋" w:cs="宋体" w:hint="eastAsia"/>
          <w:color w:val="000000"/>
          <w:kern w:val="0"/>
          <w:sz w:val="32"/>
          <w:szCs w:val="32"/>
        </w:rPr>
        <w:t>日</w:t>
      </w:r>
    </w:p>
    <w:p w:rsidR="00E67147" w:rsidRDefault="00E67147">
      <w:pPr>
        <w:autoSpaceDE w:val="0"/>
        <w:autoSpaceDN w:val="0"/>
        <w:adjustRightInd w:val="0"/>
        <w:spacing w:line="288" w:lineRule="auto"/>
        <w:jc w:val="center"/>
        <w:rPr>
          <w:rFonts w:ascii="宋体" w:eastAsia="宋体" w:cs="宋体"/>
          <w:color w:val="000000"/>
          <w:kern w:val="0"/>
          <w:sz w:val="24"/>
          <w:szCs w:val="24"/>
        </w:rPr>
      </w:pPr>
    </w:p>
    <w:p w:rsidR="00E67147" w:rsidRDefault="00952AAD">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一、公告基本信息</w:t>
      </w:r>
    </w:p>
    <w:tbl>
      <w:tblPr>
        <w:tblW w:w="9752" w:type="dxa"/>
        <w:tblInd w:w="108" w:type="dxa"/>
        <w:tblLayout w:type="fixed"/>
        <w:tblLook w:val="04A0"/>
      </w:tblPr>
      <w:tblGrid>
        <w:gridCol w:w="3544"/>
        <w:gridCol w:w="3104"/>
        <w:gridCol w:w="3104"/>
      </w:tblGrid>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基金名称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中加智选添元三个月持有期混合型基金中基金（</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p>
        </w:tc>
      </w:tr>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基金简称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p>
        </w:tc>
      </w:tr>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基金主代码</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025816</w:t>
            </w:r>
          </w:p>
        </w:tc>
      </w:tr>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基金运作方式</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契约型开放式</w:t>
            </w:r>
          </w:p>
        </w:tc>
      </w:tr>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基金合同生效日</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color w:val="000000"/>
                <w:kern w:val="0"/>
                <w:sz w:val="24"/>
                <w:szCs w:val="24"/>
              </w:rPr>
              <w:t>20</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5</w:t>
            </w:r>
            <w:r>
              <w:rPr>
                <w:rFonts w:ascii="仿宋" w:eastAsia="仿宋" w:hAnsi="仿宋" w:cs="宋体" w:hint="eastAsia"/>
                <w:color w:val="000000"/>
                <w:kern w:val="0"/>
                <w:sz w:val="24"/>
                <w:szCs w:val="24"/>
              </w:rPr>
              <w:t>年</w:t>
            </w:r>
            <w:r>
              <w:rPr>
                <w:rFonts w:ascii="仿宋" w:eastAsia="仿宋" w:hAnsi="仿宋" w:cs="宋体" w:hint="eastAsia"/>
                <w:color w:val="000000"/>
                <w:kern w:val="0"/>
                <w:sz w:val="24"/>
                <w:szCs w:val="24"/>
              </w:rPr>
              <w:t>12</w:t>
            </w:r>
            <w:r>
              <w:rPr>
                <w:rFonts w:ascii="仿宋" w:eastAsia="仿宋" w:hAnsi="仿宋" w:cs="宋体" w:hint="eastAsia"/>
                <w:color w:val="000000"/>
                <w:kern w:val="0"/>
                <w:sz w:val="24"/>
                <w:szCs w:val="24"/>
              </w:rPr>
              <w:t>月</w:t>
            </w:r>
            <w:r>
              <w:rPr>
                <w:rFonts w:ascii="仿宋" w:eastAsia="仿宋" w:hAnsi="仿宋" w:cs="宋体" w:hint="eastAsia"/>
                <w:color w:val="000000"/>
                <w:kern w:val="0"/>
                <w:sz w:val="24"/>
                <w:szCs w:val="24"/>
              </w:rPr>
              <w:t>29</w:t>
            </w:r>
            <w:r>
              <w:rPr>
                <w:rFonts w:ascii="仿宋" w:eastAsia="仿宋" w:hAnsi="仿宋" w:cs="宋体" w:hint="eastAsia"/>
                <w:color w:val="000000"/>
                <w:kern w:val="0"/>
                <w:sz w:val="24"/>
                <w:szCs w:val="24"/>
              </w:rPr>
              <w:t>日</w:t>
            </w:r>
          </w:p>
        </w:tc>
      </w:tr>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基金管理人名称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中加基金管理有限公司</w:t>
            </w:r>
          </w:p>
        </w:tc>
      </w:tr>
      <w:tr w:rsidR="00E67147">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基金托管人名称</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南京银行股份有限公司</w:t>
            </w:r>
          </w:p>
        </w:tc>
      </w:tr>
      <w:tr w:rsidR="00E67147">
        <w:trPr>
          <w:trHeight w:val="1934"/>
        </w:trPr>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公告依据</w:t>
            </w:r>
          </w:p>
        </w:tc>
        <w:tc>
          <w:tcPr>
            <w:tcW w:w="6208"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《中华人民共和国证券投资基金法》、《公开募集证券投资基金信息披露管理办法》、《公开募集证券投资基金运作管理办法》等法律法规以及《</w:t>
            </w:r>
            <w:r>
              <w:rPr>
                <w:rFonts w:ascii="仿宋" w:eastAsia="仿宋" w:hAnsi="仿宋" w:cs="宋体" w:hint="eastAsia"/>
                <w:color w:val="000000"/>
                <w:kern w:val="0"/>
                <w:sz w:val="24"/>
                <w:szCs w:val="24"/>
              </w:rPr>
              <w:t>中加智选添元三个月持有期混合型基金中基金（</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基金合同》、《</w:t>
            </w:r>
            <w:r>
              <w:rPr>
                <w:rFonts w:ascii="仿宋" w:eastAsia="仿宋" w:hAnsi="仿宋" w:cs="宋体" w:hint="eastAsia"/>
                <w:color w:val="000000"/>
                <w:kern w:val="0"/>
                <w:sz w:val="24"/>
                <w:szCs w:val="24"/>
              </w:rPr>
              <w:t>中加智选添元三个月持有期混合型基金中基金（</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招募说明书》</w:t>
            </w:r>
          </w:p>
        </w:tc>
      </w:tr>
      <w:tr w:rsidR="00E67147">
        <w:trPr>
          <w:trHeight w:val="90"/>
        </w:trPr>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下属基金份额类别</w:t>
            </w:r>
            <w:r>
              <w:rPr>
                <w:rFonts w:ascii="仿宋" w:eastAsia="仿宋" w:hAnsi="仿宋" w:cs="宋体" w:hint="eastAsia"/>
                <w:color w:val="000000"/>
                <w:kern w:val="0"/>
                <w:sz w:val="24"/>
                <w:szCs w:val="24"/>
              </w:rPr>
              <w:t>的基金简称</w:t>
            </w:r>
          </w:p>
        </w:tc>
        <w:tc>
          <w:tcPr>
            <w:tcW w:w="310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A</w:t>
            </w:r>
          </w:p>
        </w:tc>
        <w:tc>
          <w:tcPr>
            <w:tcW w:w="310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C</w:t>
            </w:r>
          </w:p>
        </w:tc>
      </w:tr>
      <w:tr w:rsidR="00E67147">
        <w:trPr>
          <w:trHeight w:val="90"/>
        </w:trPr>
        <w:tc>
          <w:tcPr>
            <w:tcW w:w="354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下属基金份额类别</w:t>
            </w:r>
            <w:r>
              <w:rPr>
                <w:rFonts w:ascii="仿宋" w:eastAsia="仿宋" w:hAnsi="仿宋" w:cs="宋体" w:hint="eastAsia"/>
                <w:color w:val="000000"/>
                <w:kern w:val="0"/>
                <w:sz w:val="24"/>
                <w:szCs w:val="24"/>
              </w:rPr>
              <w:t>的交易</w:t>
            </w:r>
            <w:r>
              <w:rPr>
                <w:rFonts w:ascii="仿宋" w:eastAsia="仿宋" w:hAnsi="仿宋" w:cs="宋体" w:hint="eastAsia"/>
                <w:color w:val="000000"/>
                <w:kern w:val="0"/>
                <w:sz w:val="24"/>
                <w:szCs w:val="24"/>
              </w:rPr>
              <w:t>代码</w:t>
            </w:r>
          </w:p>
        </w:tc>
        <w:tc>
          <w:tcPr>
            <w:tcW w:w="310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025816</w:t>
            </w:r>
          </w:p>
        </w:tc>
        <w:tc>
          <w:tcPr>
            <w:tcW w:w="3104"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025817</w:t>
            </w:r>
          </w:p>
        </w:tc>
      </w:tr>
    </w:tbl>
    <w:p w:rsidR="00E67147" w:rsidRDefault="00E67147">
      <w:pPr>
        <w:autoSpaceDE w:val="0"/>
        <w:autoSpaceDN w:val="0"/>
        <w:adjustRightInd w:val="0"/>
        <w:spacing w:line="288" w:lineRule="auto"/>
        <w:jc w:val="left"/>
        <w:rPr>
          <w:rFonts w:ascii="黑体" w:eastAsia="黑体" w:hAnsi="黑体" w:cs="宋体"/>
          <w:bCs/>
          <w:color w:val="000000"/>
          <w:kern w:val="0"/>
          <w:sz w:val="32"/>
          <w:szCs w:val="32"/>
        </w:rPr>
      </w:pPr>
    </w:p>
    <w:p w:rsidR="00E67147" w:rsidRDefault="00952AAD">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二、基金募集情况</w:t>
      </w:r>
    </w:p>
    <w:tbl>
      <w:tblPr>
        <w:tblW w:w="9801" w:type="dxa"/>
        <w:tblInd w:w="108" w:type="dxa"/>
        <w:tblLayout w:type="fixed"/>
        <w:tblLook w:val="04A0"/>
      </w:tblPr>
      <w:tblGrid>
        <w:gridCol w:w="1976"/>
        <w:gridCol w:w="1751"/>
        <w:gridCol w:w="2032"/>
        <w:gridCol w:w="1963"/>
        <w:gridCol w:w="2079"/>
      </w:tblGrid>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hint="eastAsia"/>
                <w:color w:val="000000"/>
                <w:sz w:val="24"/>
                <w:szCs w:val="24"/>
              </w:rPr>
              <w:t>基金募集申请获中国证监会核准的文号</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证监许可【</w:t>
            </w:r>
            <w:r>
              <w:rPr>
                <w:rFonts w:ascii="仿宋" w:eastAsia="仿宋" w:hAnsi="仿宋" w:cs="宋体" w:hint="eastAsia"/>
                <w:color w:val="000000"/>
                <w:kern w:val="0"/>
                <w:sz w:val="24"/>
                <w:szCs w:val="24"/>
              </w:rPr>
              <w:t>2025</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2198</w:t>
            </w:r>
            <w:r>
              <w:rPr>
                <w:rFonts w:ascii="仿宋" w:eastAsia="仿宋" w:hAnsi="仿宋" w:cs="宋体" w:hint="eastAsia"/>
                <w:color w:val="000000"/>
                <w:kern w:val="0"/>
                <w:sz w:val="24"/>
                <w:szCs w:val="24"/>
              </w:rPr>
              <w:t>号</w:t>
            </w:r>
          </w:p>
        </w:tc>
      </w:tr>
      <w:tr w:rsidR="00E67147">
        <w:trPr>
          <w:trHeight w:val="90"/>
        </w:trPr>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spacing w:line="530" w:lineRule="exact"/>
              <w:rPr>
                <w:rFonts w:ascii="仿宋" w:eastAsia="仿宋" w:hAnsi="仿宋"/>
                <w:color w:val="000000"/>
                <w:sz w:val="24"/>
                <w:szCs w:val="24"/>
              </w:rPr>
            </w:pPr>
            <w:r>
              <w:rPr>
                <w:rFonts w:ascii="仿宋" w:eastAsia="仿宋" w:hAnsi="仿宋" w:hint="eastAsia"/>
                <w:color w:val="000000"/>
                <w:sz w:val="24"/>
                <w:szCs w:val="24"/>
              </w:rPr>
              <w:lastRenderedPageBreak/>
              <w:t>基金募集期间</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spacing w:line="530" w:lineRule="exact"/>
              <w:rPr>
                <w:rFonts w:ascii="仿宋" w:eastAsia="仿宋" w:hAnsi="仿宋"/>
                <w:color w:val="000000"/>
                <w:sz w:val="24"/>
                <w:szCs w:val="24"/>
              </w:rPr>
            </w:pPr>
            <w:r>
              <w:rPr>
                <w:rFonts w:ascii="仿宋" w:eastAsia="仿宋" w:hAnsi="仿宋" w:hint="eastAsia"/>
                <w:color w:val="000000"/>
                <w:sz w:val="24"/>
                <w:szCs w:val="24"/>
              </w:rPr>
              <w:t>自</w:t>
            </w:r>
            <w:r>
              <w:rPr>
                <w:rFonts w:ascii="仿宋" w:eastAsia="仿宋" w:hAnsi="仿宋" w:hint="eastAsia"/>
                <w:color w:val="000000"/>
                <w:sz w:val="24"/>
                <w:szCs w:val="24"/>
              </w:rPr>
              <w:t>202</w:t>
            </w:r>
            <w:r>
              <w:rPr>
                <w:rFonts w:ascii="仿宋" w:eastAsia="仿宋" w:hAnsi="仿宋" w:hint="eastAsia"/>
                <w:color w:val="000000"/>
                <w:sz w:val="24"/>
                <w:szCs w:val="24"/>
              </w:rPr>
              <w:t>5</w:t>
            </w:r>
            <w:r>
              <w:rPr>
                <w:rFonts w:ascii="仿宋" w:eastAsia="仿宋" w:hAnsi="仿宋" w:hint="eastAsia"/>
                <w:color w:val="000000"/>
                <w:sz w:val="24"/>
                <w:szCs w:val="24"/>
              </w:rPr>
              <w:t>年</w:t>
            </w:r>
            <w:r>
              <w:rPr>
                <w:rFonts w:ascii="仿宋" w:eastAsia="仿宋" w:hAnsi="仿宋" w:hint="eastAsia"/>
                <w:color w:val="000000"/>
                <w:sz w:val="24"/>
                <w:szCs w:val="24"/>
              </w:rPr>
              <w:t>12</w:t>
            </w:r>
            <w:r>
              <w:rPr>
                <w:rFonts w:ascii="仿宋" w:eastAsia="仿宋" w:hAnsi="仿宋" w:hint="eastAsia"/>
                <w:color w:val="000000"/>
                <w:sz w:val="24"/>
                <w:szCs w:val="24"/>
              </w:rPr>
              <w:t>月</w:t>
            </w:r>
            <w:r>
              <w:rPr>
                <w:rFonts w:ascii="仿宋" w:eastAsia="仿宋" w:hAnsi="仿宋" w:hint="eastAsia"/>
                <w:color w:val="000000"/>
                <w:sz w:val="24"/>
                <w:szCs w:val="24"/>
              </w:rPr>
              <w:t>8</w:t>
            </w:r>
            <w:r>
              <w:rPr>
                <w:rFonts w:ascii="仿宋" w:eastAsia="仿宋" w:hAnsi="仿宋" w:hint="eastAsia"/>
                <w:color w:val="000000"/>
                <w:sz w:val="24"/>
                <w:szCs w:val="24"/>
              </w:rPr>
              <w:t>日至</w:t>
            </w:r>
            <w:r>
              <w:rPr>
                <w:rFonts w:ascii="仿宋" w:eastAsia="仿宋" w:hAnsi="仿宋" w:hint="eastAsia"/>
                <w:color w:val="000000"/>
                <w:sz w:val="24"/>
                <w:szCs w:val="24"/>
              </w:rPr>
              <w:t>202</w:t>
            </w:r>
            <w:r>
              <w:rPr>
                <w:rFonts w:ascii="仿宋" w:eastAsia="仿宋" w:hAnsi="仿宋" w:hint="eastAsia"/>
                <w:color w:val="000000"/>
                <w:sz w:val="24"/>
                <w:szCs w:val="24"/>
              </w:rPr>
              <w:t>5</w:t>
            </w:r>
            <w:r>
              <w:rPr>
                <w:rFonts w:ascii="仿宋" w:eastAsia="仿宋" w:hAnsi="仿宋" w:hint="eastAsia"/>
                <w:color w:val="000000"/>
                <w:sz w:val="24"/>
                <w:szCs w:val="24"/>
              </w:rPr>
              <w:t>年</w:t>
            </w:r>
            <w:r>
              <w:rPr>
                <w:rFonts w:ascii="仿宋" w:eastAsia="仿宋" w:hAnsi="仿宋" w:hint="eastAsia"/>
                <w:color w:val="000000"/>
                <w:sz w:val="24"/>
                <w:szCs w:val="24"/>
              </w:rPr>
              <w:t>12</w:t>
            </w:r>
            <w:r>
              <w:rPr>
                <w:rFonts w:ascii="仿宋" w:eastAsia="仿宋" w:hAnsi="仿宋" w:hint="eastAsia"/>
                <w:color w:val="000000"/>
                <w:sz w:val="24"/>
                <w:szCs w:val="24"/>
              </w:rPr>
              <w:t>月</w:t>
            </w:r>
            <w:r>
              <w:rPr>
                <w:rFonts w:ascii="仿宋" w:eastAsia="仿宋" w:hAnsi="仿宋" w:hint="eastAsia"/>
                <w:color w:val="000000"/>
                <w:sz w:val="24"/>
                <w:szCs w:val="24"/>
              </w:rPr>
              <w:t>25</w:t>
            </w:r>
            <w:r>
              <w:rPr>
                <w:rFonts w:ascii="仿宋" w:eastAsia="仿宋" w:hAnsi="仿宋" w:hint="eastAsia"/>
                <w:color w:val="000000"/>
                <w:sz w:val="24"/>
                <w:szCs w:val="24"/>
              </w:rPr>
              <w:t>日止</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spacing w:line="530" w:lineRule="exact"/>
              <w:rPr>
                <w:rFonts w:ascii="仿宋" w:eastAsia="仿宋" w:hAnsi="仿宋"/>
                <w:color w:val="000000"/>
                <w:sz w:val="24"/>
                <w:szCs w:val="24"/>
              </w:rPr>
            </w:pPr>
            <w:r>
              <w:rPr>
                <w:rFonts w:ascii="仿宋" w:eastAsia="仿宋" w:hAnsi="仿宋" w:hint="eastAsia"/>
                <w:color w:val="000000"/>
                <w:sz w:val="24"/>
                <w:szCs w:val="24"/>
              </w:rPr>
              <w:t>验资机构名称</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spacing w:line="530" w:lineRule="exact"/>
              <w:rPr>
                <w:rFonts w:ascii="仿宋" w:eastAsia="仿宋" w:hAnsi="仿宋"/>
                <w:color w:val="000000"/>
                <w:sz w:val="24"/>
                <w:szCs w:val="24"/>
              </w:rPr>
            </w:pPr>
            <w:r>
              <w:rPr>
                <w:rFonts w:ascii="仿宋" w:eastAsia="仿宋" w:hAnsi="仿宋" w:hint="eastAsia"/>
                <w:color w:val="000000"/>
                <w:sz w:val="24"/>
                <w:szCs w:val="24"/>
              </w:rPr>
              <w:t>毕马威华振会计师事务所（特殊普通合伙）</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募集资金划入基金托管专户的日期</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hint="eastAsia"/>
                <w:color w:val="000000"/>
                <w:sz w:val="24"/>
                <w:szCs w:val="24"/>
              </w:rPr>
              <w:t>202</w:t>
            </w:r>
            <w:r>
              <w:rPr>
                <w:rFonts w:ascii="仿宋" w:eastAsia="仿宋" w:hAnsi="仿宋" w:hint="eastAsia"/>
                <w:color w:val="000000"/>
                <w:sz w:val="24"/>
                <w:szCs w:val="24"/>
              </w:rPr>
              <w:t>5</w:t>
            </w:r>
            <w:r>
              <w:rPr>
                <w:rFonts w:ascii="仿宋" w:eastAsia="仿宋" w:hAnsi="仿宋" w:hint="eastAsia"/>
                <w:color w:val="000000"/>
                <w:sz w:val="24"/>
                <w:szCs w:val="24"/>
              </w:rPr>
              <w:t>年</w:t>
            </w:r>
            <w:r>
              <w:rPr>
                <w:rFonts w:ascii="仿宋" w:eastAsia="仿宋" w:hAnsi="仿宋" w:hint="eastAsia"/>
                <w:color w:val="000000"/>
                <w:sz w:val="24"/>
                <w:szCs w:val="24"/>
              </w:rPr>
              <w:t>12</w:t>
            </w:r>
            <w:r>
              <w:rPr>
                <w:rFonts w:ascii="仿宋" w:eastAsia="仿宋" w:hAnsi="仿宋" w:hint="eastAsia"/>
                <w:color w:val="000000"/>
                <w:sz w:val="24"/>
                <w:szCs w:val="24"/>
              </w:rPr>
              <w:t>月</w:t>
            </w:r>
            <w:r>
              <w:rPr>
                <w:rFonts w:ascii="仿宋" w:eastAsia="仿宋" w:hAnsi="仿宋" w:hint="eastAsia"/>
                <w:color w:val="000000"/>
                <w:sz w:val="24"/>
                <w:szCs w:val="24"/>
              </w:rPr>
              <w:t>29</w:t>
            </w:r>
            <w:r>
              <w:rPr>
                <w:rFonts w:ascii="仿宋" w:eastAsia="仿宋" w:hAnsi="仿宋" w:hint="eastAsia"/>
                <w:color w:val="000000"/>
                <w:sz w:val="24"/>
                <w:szCs w:val="24"/>
              </w:rPr>
              <w:t>日</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募集有效认购总户数（单位：户）</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1946</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份额类别</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A</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C</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中加智选添元三个月持有期混合（</w:t>
            </w:r>
            <w:r>
              <w:rPr>
                <w:rFonts w:ascii="仿宋" w:eastAsia="仿宋" w:hAnsi="仿宋" w:cs="宋体" w:hint="eastAsia"/>
                <w:color w:val="000000"/>
                <w:kern w:val="0"/>
                <w:sz w:val="24"/>
                <w:szCs w:val="24"/>
              </w:rPr>
              <w:t>FOF</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合计</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募集期间净认购金额（单位：人民币元）</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49,872,496.35</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330</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065</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279.56</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379</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937</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775.91</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认购资金在募集期间产生的利息（单位：人民币元）</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11,800.87</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 xml:space="preserve">58,203.35 </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70,004.22</w:t>
            </w:r>
          </w:p>
        </w:tc>
      </w:tr>
      <w:tr w:rsidR="00E67147">
        <w:tc>
          <w:tcPr>
            <w:tcW w:w="1976" w:type="dxa"/>
            <w:vMerge w:val="restart"/>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募集份额（单位：份）</w:t>
            </w: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有效认购份额</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49,872,496.35</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330</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065</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279.56</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379</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937</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775.91</w:t>
            </w:r>
          </w:p>
        </w:tc>
      </w:tr>
      <w:tr w:rsidR="00E67147">
        <w:tc>
          <w:tcPr>
            <w:tcW w:w="1976" w:type="dxa"/>
            <w:vMerge/>
            <w:tcBorders>
              <w:top w:val="single" w:sz="8" w:space="0" w:color="000000"/>
              <w:left w:val="single" w:sz="8" w:space="0" w:color="000000"/>
              <w:bottom w:val="single" w:sz="8" w:space="0" w:color="000000"/>
              <w:right w:val="single" w:sz="8" w:space="0" w:color="000000"/>
            </w:tcBorders>
          </w:tcPr>
          <w:p w:rsidR="00E67147" w:rsidRDefault="00E67147">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利息结转的份额</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11,800.87</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 xml:space="preserve">58,203.35 </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lang/>
              </w:rPr>
              <w:t>70,004.22</w:t>
            </w:r>
          </w:p>
        </w:tc>
      </w:tr>
      <w:tr w:rsidR="00E67147">
        <w:tc>
          <w:tcPr>
            <w:tcW w:w="1976" w:type="dxa"/>
            <w:vMerge/>
            <w:tcBorders>
              <w:top w:val="single" w:sz="8" w:space="0" w:color="000000"/>
              <w:left w:val="single" w:sz="8" w:space="0" w:color="000000"/>
              <w:bottom w:val="single" w:sz="8" w:space="0" w:color="000000"/>
              <w:right w:val="single" w:sz="8" w:space="0" w:color="000000"/>
            </w:tcBorders>
          </w:tcPr>
          <w:p w:rsidR="00E67147" w:rsidRDefault="00E67147">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合计</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lang/>
              </w:rPr>
            </w:pPr>
            <w:r>
              <w:rPr>
                <w:rFonts w:ascii="仿宋" w:eastAsia="仿宋" w:hAnsi="仿宋" w:cs="宋体" w:hint="eastAsia"/>
                <w:color w:val="000000"/>
                <w:kern w:val="0"/>
                <w:sz w:val="24"/>
                <w:szCs w:val="24"/>
                <w:lang/>
              </w:rPr>
              <w:t xml:space="preserve">49,884,297.22 </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lang/>
              </w:rPr>
            </w:pPr>
            <w:r>
              <w:rPr>
                <w:rFonts w:ascii="仿宋" w:eastAsia="仿宋" w:hAnsi="仿宋" w:cs="宋体" w:hint="eastAsia"/>
                <w:color w:val="000000"/>
                <w:kern w:val="0"/>
                <w:sz w:val="24"/>
                <w:szCs w:val="24"/>
                <w:lang/>
              </w:rPr>
              <w:t>330,123,482.91</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lang/>
              </w:rPr>
            </w:pPr>
            <w:r>
              <w:rPr>
                <w:rFonts w:ascii="仿宋" w:eastAsia="仿宋" w:hAnsi="仿宋" w:cs="宋体" w:hint="eastAsia"/>
                <w:color w:val="000000"/>
                <w:kern w:val="0"/>
                <w:sz w:val="24"/>
                <w:szCs w:val="24"/>
                <w:lang/>
              </w:rPr>
              <w:t xml:space="preserve">380,007,780.13 </w:t>
            </w:r>
          </w:p>
        </w:tc>
      </w:tr>
      <w:tr w:rsidR="00E67147">
        <w:tc>
          <w:tcPr>
            <w:tcW w:w="1976" w:type="dxa"/>
            <w:vMerge w:val="restart"/>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其中：募集期间基金管理人运用固有资金认购本基金情况</w:t>
            </w: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认购的基金份额（单位：份）</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olor w:val="000000"/>
                <w:sz w:val="24"/>
                <w:szCs w:val="24"/>
              </w:rPr>
            </w:pPr>
            <w:r>
              <w:rPr>
                <w:rFonts w:ascii="仿宋" w:eastAsia="仿宋" w:hAnsi="仿宋" w:cs="宋体" w:hint="eastAsia"/>
                <w:color w:val="000000"/>
                <w:kern w:val="0"/>
                <w:sz w:val="24"/>
                <w:szCs w:val="24"/>
              </w:rPr>
              <w:t>0.00</w:t>
            </w:r>
          </w:p>
        </w:tc>
      </w:tr>
      <w:tr w:rsidR="00E67147">
        <w:tc>
          <w:tcPr>
            <w:tcW w:w="1976" w:type="dxa"/>
            <w:vMerge/>
            <w:tcBorders>
              <w:top w:val="single" w:sz="8" w:space="0" w:color="000000"/>
              <w:left w:val="single" w:sz="8" w:space="0" w:color="000000"/>
              <w:bottom w:val="single" w:sz="8" w:space="0" w:color="000000"/>
              <w:right w:val="single" w:sz="8" w:space="0" w:color="000000"/>
            </w:tcBorders>
          </w:tcPr>
          <w:p w:rsidR="00E67147" w:rsidRDefault="00E67147">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占基金总份额比例</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r>
      <w:tr w:rsidR="00E67147">
        <w:tc>
          <w:tcPr>
            <w:tcW w:w="1976" w:type="dxa"/>
            <w:vMerge/>
            <w:tcBorders>
              <w:top w:val="single" w:sz="8" w:space="0" w:color="000000"/>
              <w:left w:val="single" w:sz="8" w:space="0" w:color="000000"/>
              <w:bottom w:val="single" w:sz="8" w:space="0" w:color="000000"/>
              <w:right w:val="single" w:sz="8" w:space="0" w:color="000000"/>
            </w:tcBorders>
          </w:tcPr>
          <w:p w:rsidR="00E67147" w:rsidRDefault="00E67147">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其他需要说明的事项</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无</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无</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无</w:t>
            </w:r>
          </w:p>
        </w:tc>
      </w:tr>
      <w:tr w:rsidR="00E67147">
        <w:tc>
          <w:tcPr>
            <w:tcW w:w="1976" w:type="dxa"/>
            <w:vMerge w:val="restart"/>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其中：募集期间基金管理人的从业人员认购本基金情况</w:t>
            </w: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认购的基金份额（单位：份）</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19,964.08</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10,004.67</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29,968.75</w:t>
            </w:r>
          </w:p>
        </w:tc>
      </w:tr>
      <w:tr w:rsidR="00E67147">
        <w:tc>
          <w:tcPr>
            <w:tcW w:w="1976" w:type="dxa"/>
            <w:vMerge/>
            <w:tcBorders>
              <w:top w:val="single" w:sz="8" w:space="0" w:color="000000"/>
              <w:left w:val="single" w:sz="8" w:space="0" w:color="000000"/>
              <w:bottom w:val="single" w:sz="8" w:space="0" w:color="000000"/>
              <w:right w:val="single" w:sz="8" w:space="0" w:color="000000"/>
            </w:tcBorders>
          </w:tcPr>
          <w:p w:rsidR="00E67147" w:rsidRDefault="00E67147">
            <w:pPr>
              <w:autoSpaceDE w:val="0"/>
              <w:autoSpaceDN w:val="0"/>
              <w:adjustRightInd w:val="0"/>
              <w:spacing w:line="288" w:lineRule="auto"/>
              <w:jc w:val="left"/>
              <w:rPr>
                <w:rFonts w:ascii="仿宋" w:eastAsia="仿宋" w:hAnsi="仿宋"/>
                <w:kern w:val="0"/>
                <w:sz w:val="24"/>
                <w:szCs w:val="24"/>
              </w:rPr>
            </w:pPr>
          </w:p>
        </w:tc>
        <w:tc>
          <w:tcPr>
            <w:tcW w:w="1751"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占基金总份额比例</w:t>
            </w:r>
          </w:p>
        </w:tc>
        <w:tc>
          <w:tcPr>
            <w:tcW w:w="2032"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0.04%</w:t>
            </w:r>
          </w:p>
        </w:tc>
        <w:tc>
          <w:tcPr>
            <w:tcW w:w="1963"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0.00%</w:t>
            </w:r>
          </w:p>
        </w:tc>
        <w:tc>
          <w:tcPr>
            <w:tcW w:w="2079" w:type="dxa"/>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0.01%</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募集期限届满基金是否符合法律法规规定的办理基金备案手续的条件</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是</w:t>
            </w:r>
          </w:p>
        </w:tc>
      </w:tr>
      <w:tr w:rsidR="00E67147">
        <w:tc>
          <w:tcPr>
            <w:tcW w:w="3727" w:type="dxa"/>
            <w:gridSpan w:val="2"/>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向中国证监会办理基金备案手续获得书面确认的日期</w:t>
            </w:r>
          </w:p>
        </w:tc>
        <w:tc>
          <w:tcPr>
            <w:tcW w:w="6074" w:type="dxa"/>
            <w:gridSpan w:val="3"/>
            <w:tcBorders>
              <w:top w:val="single" w:sz="8" w:space="0" w:color="000000"/>
              <w:left w:val="single" w:sz="8" w:space="0" w:color="000000"/>
              <w:bottom w:val="single" w:sz="8" w:space="0" w:color="000000"/>
              <w:right w:val="single" w:sz="8" w:space="0" w:color="000000"/>
            </w:tcBorders>
            <w:vAlign w:val="center"/>
          </w:tcPr>
          <w:p w:rsidR="00E67147" w:rsidRDefault="00952AAD">
            <w:pPr>
              <w:autoSpaceDE w:val="0"/>
              <w:autoSpaceDN w:val="0"/>
              <w:adjustRightInd w:val="0"/>
              <w:spacing w:before="29" w:line="288" w:lineRule="auto"/>
              <w:ind w:left="15"/>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202</w:t>
            </w:r>
            <w:r>
              <w:rPr>
                <w:rFonts w:ascii="仿宋" w:eastAsia="仿宋" w:hAnsi="仿宋" w:cs="宋体" w:hint="eastAsia"/>
                <w:color w:val="000000"/>
                <w:kern w:val="0"/>
                <w:sz w:val="24"/>
                <w:szCs w:val="24"/>
              </w:rPr>
              <w:t>5</w:t>
            </w:r>
            <w:r>
              <w:rPr>
                <w:rFonts w:ascii="仿宋" w:eastAsia="仿宋" w:hAnsi="仿宋" w:cs="宋体" w:hint="eastAsia"/>
                <w:color w:val="000000"/>
                <w:kern w:val="0"/>
                <w:sz w:val="24"/>
                <w:szCs w:val="24"/>
              </w:rPr>
              <w:t>年</w:t>
            </w:r>
            <w:r>
              <w:rPr>
                <w:rFonts w:ascii="仿宋" w:eastAsia="仿宋" w:hAnsi="仿宋" w:cs="宋体" w:hint="eastAsia"/>
                <w:color w:val="000000"/>
                <w:kern w:val="0"/>
                <w:sz w:val="24"/>
                <w:szCs w:val="24"/>
              </w:rPr>
              <w:t>12</w:t>
            </w:r>
            <w:r>
              <w:rPr>
                <w:rFonts w:ascii="仿宋" w:eastAsia="仿宋" w:hAnsi="仿宋" w:cs="宋体" w:hint="eastAsia"/>
                <w:color w:val="000000"/>
                <w:kern w:val="0"/>
                <w:sz w:val="24"/>
                <w:szCs w:val="24"/>
              </w:rPr>
              <w:t>月</w:t>
            </w:r>
            <w:r>
              <w:rPr>
                <w:rFonts w:ascii="仿宋" w:eastAsia="仿宋" w:hAnsi="仿宋" w:cs="宋体" w:hint="eastAsia"/>
                <w:color w:val="000000"/>
                <w:kern w:val="0"/>
                <w:sz w:val="24"/>
                <w:szCs w:val="24"/>
              </w:rPr>
              <w:t>29</w:t>
            </w:r>
            <w:r>
              <w:rPr>
                <w:rFonts w:ascii="仿宋" w:eastAsia="仿宋" w:hAnsi="仿宋" w:cs="宋体" w:hint="eastAsia"/>
                <w:color w:val="000000"/>
                <w:kern w:val="0"/>
                <w:sz w:val="24"/>
                <w:szCs w:val="24"/>
              </w:rPr>
              <w:t>日</w:t>
            </w:r>
          </w:p>
        </w:tc>
      </w:tr>
    </w:tbl>
    <w:p w:rsidR="00E67147" w:rsidRDefault="00952AAD">
      <w:pPr>
        <w:autoSpaceDE w:val="0"/>
        <w:autoSpaceDN w:val="0"/>
        <w:adjustRightInd w:val="0"/>
        <w:spacing w:before="29" w:line="600" w:lineRule="exact"/>
        <w:ind w:left="17"/>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注：（</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）按照有关法律规定，本基金合同生效前发生的与本基金有关的律师费、会计师费、信息披露费等费用不从基金资产中列支；</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）本基金管理人高级管理人员、基金投资和研究部门负责人认购本基金份额总量的数量区间为</w:t>
      </w:r>
      <w:r>
        <w:rPr>
          <w:rFonts w:ascii="仿宋" w:eastAsia="仿宋" w:hAnsi="仿宋" w:cs="宋体" w:hint="eastAsia"/>
          <w:color w:val="000000"/>
          <w:kern w:val="0"/>
          <w:sz w:val="24"/>
          <w:szCs w:val="24"/>
        </w:rPr>
        <w:t>0</w:t>
      </w:r>
      <w:r>
        <w:rPr>
          <w:rFonts w:ascii="仿宋" w:eastAsia="仿宋" w:hAnsi="仿宋" w:cs="宋体" w:hint="eastAsia"/>
          <w:color w:val="000000"/>
          <w:kern w:val="0"/>
          <w:sz w:val="24"/>
          <w:szCs w:val="24"/>
        </w:rPr>
        <w:t>份；本基金的基金经理认购本基金份额总量的数量区间为</w:t>
      </w:r>
      <w:r>
        <w:rPr>
          <w:rFonts w:ascii="仿宋" w:eastAsia="仿宋" w:hAnsi="仿宋" w:cs="宋体" w:hint="eastAsia"/>
          <w:color w:val="000000"/>
          <w:kern w:val="0"/>
          <w:sz w:val="24"/>
          <w:szCs w:val="24"/>
        </w:rPr>
        <w:t>0</w:t>
      </w:r>
      <w:r>
        <w:rPr>
          <w:rFonts w:ascii="仿宋" w:eastAsia="仿宋" w:hAnsi="仿宋" w:cs="宋体" w:hint="eastAsia"/>
          <w:color w:val="000000"/>
          <w:kern w:val="0"/>
          <w:sz w:val="24"/>
          <w:szCs w:val="24"/>
        </w:rPr>
        <w:t>份。</w:t>
      </w:r>
    </w:p>
    <w:p w:rsidR="00E67147" w:rsidRDefault="00E67147">
      <w:pPr>
        <w:autoSpaceDE w:val="0"/>
        <w:autoSpaceDN w:val="0"/>
        <w:adjustRightInd w:val="0"/>
        <w:spacing w:line="288" w:lineRule="auto"/>
        <w:jc w:val="left"/>
        <w:rPr>
          <w:rFonts w:ascii="MS Sans Serif" w:eastAsia="宋体" w:hAnsi="MS Sans Serif" w:cs="MS Sans Serif"/>
          <w:color w:val="000000"/>
          <w:kern w:val="0"/>
          <w:sz w:val="23"/>
          <w:szCs w:val="23"/>
        </w:rPr>
      </w:pPr>
    </w:p>
    <w:p w:rsidR="00E67147" w:rsidRDefault="00952AAD">
      <w:pPr>
        <w:autoSpaceDE w:val="0"/>
        <w:autoSpaceDN w:val="0"/>
        <w:adjustRightInd w:val="0"/>
        <w:spacing w:before="29" w:line="288" w:lineRule="auto"/>
        <w:ind w:leftChars="7" w:left="15"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三、其他需要提示的事项</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）销售机构受理投资者认购申请并不代表申请成功，申请的成功与否须以本基金注册登记人的确认结果为准。基金份额持有人可以到销售机构的网点进行交易确认单的查询和打印，也可以通过本基金管理人的网站</w:t>
      </w:r>
      <w:r>
        <w:rPr>
          <w:rFonts w:ascii="仿宋" w:eastAsia="仿宋" w:hAnsi="仿宋" w:cs="宋体" w:hint="eastAsia"/>
          <w:color w:val="000000"/>
          <w:kern w:val="0"/>
          <w:sz w:val="24"/>
          <w:szCs w:val="24"/>
        </w:rPr>
        <w:t>(www.bobbns.com)</w:t>
      </w:r>
      <w:r>
        <w:rPr>
          <w:rFonts w:ascii="仿宋" w:eastAsia="仿宋" w:hAnsi="仿宋" w:cs="宋体" w:hint="eastAsia"/>
          <w:color w:val="000000"/>
          <w:kern w:val="0"/>
          <w:sz w:val="24"/>
          <w:szCs w:val="24"/>
        </w:rPr>
        <w:t>或客户服务电话</w:t>
      </w:r>
      <w:r>
        <w:rPr>
          <w:rFonts w:ascii="仿宋" w:eastAsia="仿宋" w:hAnsi="仿宋" w:cs="宋体" w:hint="eastAsia"/>
          <w:color w:val="000000"/>
          <w:kern w:val="0"/>
          <w:sz w:val="24"/>
          <w:szCs w:val="24"/>
        </w:rPr>
        <w:t>(400-00-95526)</w:t>
      </w:r>
      <w:r>
        <w:rPr>
          <w:rFonts w:ascii="仿宋" w:eastAsia="仿宋" w:hAnsi="仿宋" w:cs="宋体" w:hint="eastAsia"/>
          <w:color w:val="000000"/>
          <w:kern w:val="0"/>
          <w:sz w:val="24"/>
          <w:szCs w:val="24"/>
        </w:rPr>
        <w:t>查询交易确认情况；</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基金管理人可以根据实际情况依法决定本基金开始办理申购的具体日期，具体业务办理时间在申购开始公告中规定。基金管理人自基金合同生效之日起三个月后对应日（含，如该对应日为非工作日或无该对应日，则顺延至下一个工作日）起开始办理赎回</w:t>
      </w:r>
      <w:r>
        <w:rPr>
          <w:rFonts w:ascii="仿宋" w:eastAsia="仿宋" w:hAnsi="仿宋" w:cs="宋体" w:hint="eastAsia"/>
          <w:color w:val="000000"/>
          <w:kern w:val="0"/>
          <w:sz w:val="24"/>
          <w:szCs w:val="24"/>
        </w:rPr>
        <w:t>，具体业务办理时间在赎回开始公告中规定。如果投资人多次申购本基金，则其持有的每一份基金份额开始办理赎回的时间可能不同。</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在确定申购开始与赎回开始时间后，基金管理人应在申购、赎回开放日前依照《公开募集证券投资基金信息披露管理办法》的有关规定进行公告。</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基金管理人不得在基金合同约定之外的日期或者时间办理基金份额的申购、赎回或者转换。投资人在基金合同约定之外的日期和时间提出申购、赎回、转换申请且登记机构确认接受的，其基金份额申购、赎回价格为下一开放日该类基金份额申购、赎回的价格。</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风险提示：</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、本基金初始</w:t>
      </w:r>
      <w:r>
        <w:rPr>
          <w:rFonts w:ascii="仿宋" w:eastAsia="仿宋" w:hAnsi="仿宋" w:cs="宋体" w:hint="eastAsia"/>
          <w:color w:val="000000"/>
          <w:kern w:val="0"/>
          <w:sz w:val="24"/>
          <w:szCs w:val="24"/>
        </w:rPr>
        <w:t>募集面值为人民币</w:t>
      </w:r>
      <w:r>
        <w:rPr>
          <w:rFonts w:ascii="仿宋" w:eastAsia="仿宋" w:hAnsi="仿宋" w:cs="宋体" w:hint="eastAsia"/>
          <w:color w:val="000000"/>
          <w:kern w:val="0"/>
          <w:sz w:val="24"/>
          <w:szCs w:val="24"/>
        </w:rPr>
        <w:t>1.00</w:t>
      </w:r>
      <w:r>
        <w:rPr>
          <w:rFonts w:ascii="仿宋" w:eastAsia="仿宋" w:hAnsi="仿宋" w:cs="宋体" w:hint="eastAsia"/>
          <w:color w:val="000000"/>
          <w:kern w:val="0"/>
          <w:sz w:val="24"/>
          <w:szCs w:val="24"/>
        </w:rPr>
        <w:t>元。在市场波动因素影响下，本基金净值可能低于初始面值，本基金投资者有可能出现亏损。</w:t>
      </w:r>
      <w:r>
        <w:rPr>
          <w:rFonts w:ascii="仿宋" w:eastAsia="仿宋" w:hAnsi="仿宋" w:cs="宋体" w:hint="eastAsia"/>
          <w:color w:val="000000"/>
          <w:kern w:val="0"/>
          <w:sz w:val="24"/>
          <w:szCs w:val="24"/>
        </w:rPr>
        <w:t xml:space="preserve"> </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、基金的过往业绩并不预示其未来表现。基金管理人管理的其它基金的业绩并不构成对本基金业绩表现的保证。</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基金管理人依照恪尽职守、诚实信用、谨慎勤勉的原则管理和运用基金财产，但不保证基金一定盈利，也不保证最低收益。本公司提醒投资者在投资前认真阅读本基金的基金合同、招募说明书等文件，并选择与自身风险承受能力相匹配的投资品种进行投资。敬请投资者注意投资风险。</w:t>
      </w:r>
    </w:p>
    <w:p w:rsidR="00E67147" w:rsidRDefault="00952AAD">
      <w:pPr>
        <w:autoSpaceDE w:val="0"/>
        <w:autoSpaceDN w:val="0"/>
        <w:adjustRightInd w:val="0"/>
        <w:spacing w:before="29" w:line="600" w:lineRule="exact"/>
        <w:ind w:leftChars="8" w:left="17"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特此公告。</w:t>
      </w:r>
    </w:p>
    <w:p w:rsidR="00E67147" w:rsidRDefault="00952AAD">
      <w:pPr>
        <w:autoSpaceDE w:val="0"/>
        <w:autoSpaceDN w:val="0"/>
        <w:adjustRightInd w:val="0"/>
        <w:spacing w:before="29" w:line="288" w:lineRule="auto"/>
        <w:ind w:leftChars="7" w:left="15" w:firstLineChars="2450" w:firstLine="68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中加基金管理有限公司</w:t>
      </w:r>
    </w:p>
    <w:p w:rsidR="00E67147" w:rsidRDefault="00952AAD">
      <w:pPr>
        <w:autoSpaceDE w:val="0"/>
        <w:autoSpaceDN w:val="0"/>
        <w:adjustRightInd w:val="0"/>
        <w:spacing w:before="29" w:line="288" w:lineRule="auto"/>
        <w:ind w:left="15"/>
        <w:jc w:val="right"/>
        <w:rPr>
          <w:rFonts w:ascii="仿宋" w:eastAsia="仿宋" w:hAnsi="仿宋" w:cs="宋体"/>
          <w:color w:val="000000"/>
          <w:kern w:val="0"/>
          <w:sz w:val="28"/>
          <w:szCs w:val="28"/>
        </w:rPr>
      </w:pPr>
      <w:r>
        <w:rPr>
          <w:rFonts w:ascii="仿宋" w:eastAsia="仿宋" w:hAnsi="仿宋" w:cs="宋体"/>
          <w:color w:val="000000"/>
          <w:kern w:val="0"/>
          <w:sz w:val="28"/>
          <w:szCs w:val="28"/>
        </w:rPr>
        <w:t>20</w:t>
      </w: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5</w:t>
      </w:r>
      <w:r>
        <w:rPr>
          <w:rFonts w:ascii="仿宋" w:eastAsia="仿宋" w:hAnsi="仿宋" w:cs="宋体" w:hint="eastAsia"/>
          <w:color w:val="000000"/>
          <w:kern w:val="0"/>
          <w:sz w:val="28"/>
          <w:szCs w:val="28"/>
        </w:rPr>
        <w:t>年</w:t>
      </w:r>
      <w:r>
        <w:rPr>
          <w:rFonts w:ascii="仿宋" w:eastAsia="仿宋" w:hAnsi="仿宋" w:cs="宋体" w:hint="eastAsia"/>
          <w:color w:val="000000"/>
          <w:kern w:val="0"/>
          <w:sz w:val="28"/>
          <w:szCs w:val="28"/>
        </w:rPr>
        <w:t>12</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30</w:t>
      </w:r>
      <w:r>
        <w:rPr>
          <w:rFonts w:ascii="仿宋" w:eastAsia="仿宋" w:hAnsi="仿宋" w:cs="宋体" w:hint="eastAsia"/>
          <w:color w:val="000000"/>
          <w:kern w:val="0"/>
          <w:sz w:val="28"/>
          <w:szCs w:val="28"/>
        </w:rPr>
        <w:t>日</w:t>
      </w:r>
    </w:p>
    <w:sectPr w:rsidR="00E67147" w:rsidSect="00E67147">
      <w:headerReference w:type="default" r:id="rId8"/>
      <w:footerReference w:type="default" r:id="rId9"/>
      <w:pgSz w:w="11907" w:h="16839"/>
      <w:pgMar w:top="1440" w:right="1080" w:bottom="1440" w:left="1080"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147" w:rsidRDefault="00E67147" w:rsidP="00E67147">
      <w:r>
        <w:separator/>
      </w:r>
    </w:p>
  </w:endnote>
  <w:endnote w:type="continuationSeparator" w:id="0">
    <w:p w:rsidR="00E67147" w:rsidRDefault="00E67147" w:rsidP="00E67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微软雅黑"/>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MS Sans Serif">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47" w:rsidRDefault="00E67147">
    <w:pPr>
      <w:autoSpaceDE w:val="0"/>
      <w:autoSpaceDN w:val="0"/>
      <w:adjustRightInd w:val="0"/>
      <w:jc w:val="center"/>
      <w:rPr>
        <w:rFonts w:ascii="宋体" w:eastAsia="宋体"/>
        <w:kern w:val="0"/>
        <w:sz w:val="18"/>
        <w:szCs w:val="18"/>
      </w:rPr>
    </w:pPr>
    <w:r>
      <w:rPr>
        <w:rFonts w:ascii="宋体" w:eastAsia="宋体"/>
        <w:kern w:val="0"/>
        <w:sz w:val="18"/>
        <w:szCs w:val="18"/>
      </w:rPr>
      <w:fldChar w:fldCharType="begin"/>
    </w:r>
    <w:r w:rsidR="00952AAD">
      <w:rPr>
        <w:rFonts w:ascii="宋体" w:eastAsia="宋体"/>
        <w:kern w:val="0"/>
        <w:sz w:val="18"/>
        <w:szCs w:val="18"/>
      </w:rPr>
      <w:instrText xml:space="preserve"> PAGE   \* MERGEFORMAT </w:instrText>
    </w:r>
    <w:r>
      <w:rPr>
        <w:rFonts w:ascii="宋体" w:eastAsia="宋体"/>
        <w:kern w:val="0"/>
        <w:sz w:val="18"/>
        <w:szCs w:val="18"/>
      </w:rPr>
      <w:fldChar w:fldCharType="separate"/>
    </w:r>
    <w:r w:rsidR="00952AAD" w:rsidRPr="00952AAD">
      <w:rPr>
        <w:rFonts w:ascii="宋体" w:eastAsia="宋体"/>
        <w:noProof/>
        <w:kern w:val="0"/>
        <w:sz w:val="18"/>
        <w:szCs w:val="18"/>
        <w:lang w:val="zh-CN"/>
      </w:rPr>
      <w:t>1</w:t>
    </w:r>
    <w:r>
      <w:rPr>
        <w:rFonts w:ascii="宋体" w:eastAsia="宋体"/>
        <w:kern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147" w:rsidRDefault="00E67147" w:rsidP="00E67147">
      <w:r>
        <w:separator/>
      </w:r>
    </w:p>
  </w:footnote>
  <w:footnote w:type="continuationSeparator" w:id="0">
    <w:p w:rsidR="00E67147" w:rsidRDefault="00E67147" w:rsidP="00E67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47" w:rsidRDefault="00E67147">
    <w:pPr>
      <w:autoSpaceDE w:val="0"/>
      <w:autoSpaceDN w:val="0"/>
      <w:adjustRightInd w:val="0"/>
      <w:jc w:val="left"/>
      <w:rPr>
        <w:rFonts w:ascii="宋体" w:eastAsia="宋体"/>
        <w:kern w:val="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rawingGridHorizontalSpacing w:val="105"/>
  <w:drawingGridVerticalSpacing w:val="12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25FB9"/>
    <w:rsid w:val="00011178"/>
    <w:rsid w:val="000141D5"/>
    <w:rsid w:val="00025271"/>
    <w:rsid w:val="000268EF"/>
    <w:rsid w:val="0004319C"/>
    <w:rsid w:val="00043AAB"/>
    <w:rsid w:val="00047432"/>
    <w:rsid w:val="000629F4"/>
    <w:rsid w:val="00063A68"/>
    <w:rsid w:val="000652B8"/>
    <w:rsid w:val="000827C0"/>
    <w:rsid w:val="0009133B"/>
    <w:rsid w:val="00096C69"/>
    <w:rsid w:val="000A4AEE"/>
    <w:rsid w:val="000C1659"/>
    <w:rsid w:val="000D5634"/>
    <w:rsid w:val="000E6276"/>
    <w:rsid w:val="00104C6B"/>
    <w:rsid w:val="001168A9"/>
    <w:rsid w:val="00122DC7"/>
    <w:rsid w:val="00122E1F"/>
    <w:rsid w:val="00146A4B"/>
    <w:rsid w:val="00161393"/>
    <w:rsid w:val="00163F61"/>
    <w:rsid w:val="00181C74"/>
    <w:rsid w:val="00194098"/>
    <w:rsid w:val="00197EBF"/>
    <w:rsid w:val="001A5BBD"/>
    <w:rsid w:val="001A5F47"/>
    <w:rsid w:val="001A658D"/>
    <w:rsid w:val="001B2563"/>
    <w:rsid w:val="001B2B3C"/>
    <w:rsid w:val="001D3BDC"/>
    <w:rsid w:val="001F28C1"/>
    <w:rsid w:val="00205F39"/>
    <w:rsid w:val="00206836"/>
    <w:rsid w:val="00220716"/>
    <w:rsid w:val="00225FB9"/>
    <w:rsid w:val="00227AA2"/>
    <w:rsid w:val="00246C6D"/>
    <w:rsid w:val="002664C1"/>
    <w:rsid w:val="002A1263"/>
    <w:rsid w:val="002A7BE2"/>
    <w:rsid w:val="002B17CA"/>
    <w:rsid w:val="002B3407"/>
    <w:rsid w:val="002C7CB7"/>
    <w:rsid w:val="002D4999"/>
    <w:rsid w:val="002E3208"/>
    <w:rsid w:val="0030758D"/>
    <w:rsid w:val="003110E8"/>
    <w:rsid w:val="00321D7F"/>
    <w:rsid w:val="00330BC4"/>
    <w:rsid w:val="00344AF3"/>
    <w:rsid w:val="003508E1"/>
    <w:rsid w:val="0036468D"/>
    <w:rsid w:val="0039345B"/>
    <w:rsid w:val="003B0114"/>
    <w:rsid w:val="003F2B1F"/>
    <w:rsid w:val="003F6A02"/>
    <w:rsid w:val="00410ED3"/>
    <w:rsid w:val="0041115C"/>
    <w:rsid w:val="00423F72"/>
    <w:rsid w:val="00442767"/>
    <w:rsid w:val="00451EAD"/>
    <w:rsid w:val="0046406C"/>
    <w:rsid w:val="00464322"/>
    <w:rsid w:val="004646E4"/>
    <w:rsid w:val="00467986"/>
    <w:rsid w:val="004745A0"/>
    <w:rsid w:val="004819BC"/>
    <w:rsid w:val="0048304D"/>
    <w:rsid w:val="004844A6"/>
    <w:rsid w:val="00487938"/>
    <w:rsid w:val="0049290F"/>
    <w:rsid w:val="004A0B5E"/>
    <w:rsid w:val="004B3371"/>
    <w:rsid w:val="004D4710"/>
    <w:rsid w:val="004D5B59"/>
    <w:rsid w:val="004E0A32"/>
    <w:rsid w:val="004E5D60"/>
    <w:rsid w:val="005111E4"/>
    <w:rsid w:val="00524A93"/>
    <w:rsid w:val="00532F1B"/>
    <w:rsid w:val="00557204"/>
    <w:rsid w:val="0056026F"/>
    <w:rsid w:val="00570A9B"/>
    <w:rsid w:val="00574EB9"/>
    <w:rsid w:val="0059792D"/>
    <w:rsid w:val="005A357C"/>
    <w:rsid w:val="005E332E"/>
    <w:rsid w:val="005E7BDB"/>
    <w:rsid w:val="005F5735"/>
    <w:rsid w:val="00634EB4"/>
    <w:rsid w:val="00637A63"/>
    <w:rsid w:val="00653EFF"/>
    <w:rsid w:val="0067648A"/>
    <w:rsid w:val="0068273A"/>
    <w:rsid w:val="00687CE8"/>
    <w:rsid w:val="00696542"/>
    <w:rsid w:val="00696CD5"/>
    <w:rsid w:val="006A2E6B"/>
    <w:rsid w:val="006A6F9E"/>
    <w:rsid w:val="006C10AD"/>
    <w:rsid w:val="006C5B05"/>
    <w:rsid w:val="006C6759"/>
    <w:rsid w:val="006F10B5"/>
    <w:rsid w:val="00714A8C"/>
    <w:rsid w:val="007320D0"/>
    <w:rsid w:val="0073419D"/>
    <w:rsid w:val="00763205"/>
    <w:rsid w:val="00763D8F"/>
    <w:rsid w:val="007A2383"/>
    <w:rsid w:val="007B02B4"/>
    <w:rsid w:val="007B23A9"/>
    <w:rsid w:val="007C0403"/>
    <w:rsid w:val="007C3AE6"/>
    <w:rsid w:val="007C6E33"/>
    <w:rsid w:val="007E3387"/>
    <w:rsid w:val="007E5A76"/>
    <w:rsid w:val="007E6B14"/>
    <w:rsid w:val="007F44B7"/>
    <w:rsid w:val="00847270"/>
    <w:rsid w:val="0089720D"/>
    <w:rsid w:val="008C4043"/>
    <w:rsid w:val="008C76DE"/>
    <w:rsid w:val="008D39D5"/>
    <w:rsid w:val="008E73A7"/>
    <w:rsid w:val="008F5C35"/>
    <w:rsid w:val="008F64A7"/>
    <w:rsid w:val="00934BC9"/>
    <w:rsid w:val="0095221E"/>
    <w:rsid w:val="00952AAD"/>
    <w:rsid w:val="00953704"/>
    <w:rsid w:val="00966850"/>
    <w:rsid w:val="00972EC6"/>
    <w:rsid w:val="00981C0F"/>
    <w:rsid w:val="009B0B51"/>
    <w:rsid w:val="009B3E86"/>
    <w:rsid w:val="009C37DF"/>
    <w:rsid w:val="009E59F0"/>
    <w:rsid w:val="009E61BB"/>
    <w:rsid w:val="00A0449F"/>
    <w:rsid w:val="00A05640"/>
    <w:rsid w:val="00A118FC"/>
    <w:rsid w:val="00A37091"/>
    <w:rsid w:val="00A5167D"/>
    <w:rsid w:val="00A51A3D"/>
    <w:rsid w:val="00A85720"/>
    <w:rsid w:val="00A90011"/>
    <w:rsid w:val="00AB01E7"/>
    <w:rsid w:val="00AB173C"/>
    <w:rsid w:val="00AC6836"/>
    <w:rsid w:val="00AC7C91"/>
    <w:rsid w:val="00AD0B2B"/>
    <w:rsid w:val="00AD37C2"/>
    <w:rsid w:val="00AE163E"/>
    <w:rsid w:val="00AE3572"/>
    <w:rsid w:val="00AE5118"/>
    <w:rsid w:val="00AE7CA1"/>
    <w:rsid w:val="00AF36E9"/>
    <w:rsid w:val="00B00BDF"/>
    <w:rsid w:val="00B1050B"/>
    <w:rsid w:val="00B32E30"/>
    <w:rsid w:val="00B35055"/>
    <w:rsid w:val="00B36CE6"/>
    <w:rsid w:val="00B448C8"/>
    <w:rsid w:val="00B46A99"/>
    <w:rsid w:val="00B6479E"/>
    <w:rsid w:val="00B825A3"/>
    <w:rsid w:val="00B94D52"/>
    <w:rsid w:val="00BB1C8B"/>
    <w:rsid w:val="00BC721F"/>
    <w:rsid w:val="00BD28A2"/>
    <w:rsid w:val="00BD527D"/>
    <w:rsid w:val="00BF0A40"/>
    <w:rsid w:val="00C04DE2"/>
    <w:rsid w:val="00C07D05"/>
    <w:rsid w:val="00C11384"/>
    <w:rsid w:val="00C22F29"/>
    <w:rsid w:val="00C42744"/>
    <w:rsid w:val="00C52454"/>
    <w:rsid w:val="00C61398"/>
    <w:rsid w:val="00C64DE6"/>
    <w:rsid w:val="00C9061F"/>
    <w:rsid w:val="00CA6C89"/>
    <w:rsid w:val="00CB36B1"/>
    <w:rsid w:val="00CC4374"/>
    <w:rsid w:val="00CF2964"/>
    <w:rsid w:val="00CF6451"/>
    <w:rsid w:val="00D142F1"/>
    <w:rsid w:val="00D172DF"/>
    <w:rsid w:val="00D476EF"/>
    <w:rsid w:val="00D55977"/>
    <w:rsid w:val="00D6130A"/>
    <w:rsid w:val="00D620DE"/>
    <w:rsid w:val="00D64020"/>
    <w:rsid w:val="00D76721"/>
    <w:rsid w:val="00D963E8"/>
    <w:rsid w:val="00DB0E2F"/>
    <w:rsid w:val="00DC01D1"/>
    <w:rsid w:val="00DC118E"/>
    <w:rsid w:val="00DD3729"/>
    <w:rsid w:val="00DE25FC"/>
    <w:rsid w:val="00DE4DB1"/>
    <w:rsid w:val="00E03C89"/>
    <w:rsid w:val="00E158C4"/>
    <w:rsid w:val="00E32D0A"/>
    <w:rsid w:val="00E33F06"/>
    <w:rsid w:val="00E3618D"/>
    <w:rsid w:val="00E41666"/>
    <w:rsid w:val="00E63773"/>
    <w:rsid w:val="00E658BD"/>
    <w:rsid w:val="00E67147"/>
    <w:rsid w:val="00E95449"/>
    <w:rsid w:val="00EA1392"/>
    <w:rsid w:val="00EB115F"/>
    <w:rsid w:val="00EB2838"/>
    <w:rsid w:val="00EF7919"/>
    <w:rsid w:val="00F14874"/>
    <w:rsid w:val="00F510EB"/>
    <w:rsid w:val="00F5399F"/>
    <w:rsid w:val="00F74694"/>
    <w:rsid w:val="00F97565"/>
    <w:rsid w:val="00FC0570"/>
    <w:rsid w:val="00FF2BA8"/>
    <w:rsid w:val="03831A9B"/>
    <w:rsid w:val="04271570"/>
    <w:rsid w:val="04601EB4"/>
    <w:rsid w:val="05EC5ACD"/>
    <w:rsid w:val="062A2360"/>
    <w:rsid w:val="0743479C"/>
    <w:rsid w:val="074E2338"/>
    <w:rsid w:val="09A57711"/>
    <w:rsid w:val="0A0F3A87"/>
    <w:rsid w:val="0A7E3907"/>
    <w:rsid w:val="0B923B81"/>
    <w:rsid w:val="0C305DC2"/>
    <w:rsid w:val="0E13595B"/>
    <w:rsid w:val="0EDA02BA"/>
    <w:rsid w:val="0F2C3ED5"/>
    <w:rsid w:val="0F466144"/>
    <w:rsid w:val="0F4E6A70"/>
    <w:rsid w:val="0FFB7319"/>
    <w:rsid w:val="123C7A1A"/>
    <w:rsid w:val="12863DB9"/>
    <w:rsid w:val="13C27D27"/>
    <w:rsid w:val="14B52B2B"/>
    <w:rsid w:val="16DB5646"/>
    <w:rsid w:val="198C294E"/>
    <w:rsid w:val="1A1D0232"/>
    <w:rsid w:val="1B985771"/>
    <w:rsid w:val="1C521221"/>
    <w:rsid w:val="1CC673D6"/>
    <w:rsid w:val="1D49219F"/>
    <w:rsid w:val="1EC216D4"/>
    <w:rsid w:val="1F8C13F6"/>
    <w:rsid w:val="20004394"/>
    <w:rsid w:val="210E67AD"/>
    <w:rsid w:val="2159664B"/>
    <w:rsid w:val="23DF58CC"/>
    <w:rsid w:val="242A5E31"/>
    <w:rsid w:val="250C75A0"/>
    <w:rsid w:val="255C36D1"/>
    <w:rsid w:val="257F198D"/>
    <w:rsid w:val="26695918"/>
    <w:rsid w:val="2715524E"/>
    <w:rsid w:val="274719D6"/>
    <w:rsid w:val="27922519"/>
    <w:rsid w:val="27C3004C"/>
    <w:rsid w:val="27E94FAB"/>
    <w:rsid w:val="28246708"/>
    <w:rsid w:val="289B7506"/>
    <w:rsid w:val="2A1B2A3F"/>
    <w:rsid w:val="2A2A0F91"/>
    <w:rsid w:val="2AE50BDF"/>
    <w:rsid w:val="2AF072E1"/>
    <w:rsid w:val="2B405C58"/>
    <w:rsid w:val="2B957C27"/>
    <w:rsid w:val="2CFD3307"/>
    <w:rsid w:val="2F043F2A"/>
    <w:rsid w:val="30BE3DB8"/>
    <w:rsid w:val="31FC72C3"/>
    <w:rsid w:val="32BF0A11"/>
    <w:rsid w:val="32E14BBB"/>
    <w:rsid w:val="32EA6E0D"/>
    <w:rsid w:val="33A71D77"/>
    <w:rsid w:val="33DF691A"/>
    <w:rsid w:val="34664F72"/>
    <w:rsid w:val="355D210E"/>
    <w:rsid w:val="35984D02"/>
    <w:rsid w:val="35BA1472"/>
    <w:rsid w:val="35C8317B"/>
    <w:rsid w:val="36957CA5"/>
    <w:rsid w:val="37785E41"/>
    <w:rsid w:val="38112730"/>
    <w:rsid w:val="383F1F86"/>
    <w:rsid w:val="39302645"/>
    <w:rsid w:val="3AF25223"/>
    <w:rsid w:val="3B7B721C"/>
    <w:rsid w:val="3CE53123"/>
    <w:rsid w:val="3D402DC2"/>
    <w:rsid w:val="3DA828C9"/>
    <w:rsid w:val="3E9958A6"/>
    <w:rsid w:val="3EAE41B5"/>
    <w:rsid w:val="3EC01BC7"/>
    <w:rsid w:val="3ED10CC7"/>
    <w:rsid w:val="3F023E89"/>
    <w:rsid w:val="42287954"/>
    <w:rsid w:val="424414FF"/>
    <w:rsid w:val="441643D5"/>
    <w:rsid w:val="474934F8"/>
    <w:rsid w:val="47515D12"/>
    <w:rsid w:val="47E06317"/>
    <w:rsid w:val="49A91C74"/>
    <w:rsid w:val="49F65BA9"/>
    <w:rsid w:val="4D816203"/>
    <w:rsid w:val="4FB474A2"/>
    <w:rsid w:val="501748B5"/>
    <w:rsid w:val="50C53DE2"/>
    <w:rsid w:val="526756BF"/>
    <w:rsid w:val="52F36846"/>
    <w:rsid w:val="53063299"/>
    <w:rsid w:val="54C92813"/>
    <w:rsid w:val="55D46F30"/>
    <w:rsid w:val="574952E9"/>
    <w:rsid w:val="57FE0BED"/>
    <w:rsid w:val="59F74D40"/>
    <w:rsid w:val="5B1623FD"/>
    <w:rsid w:val="5EE60E03"/>
    <w:rsid w:val="60757611"/>
    <w:rsid w:val="62CC243F"/>
    <w:rsid w:val="635E7C03"/>
    <w:rsid w:val="63D35BAD"/>
    <w:rsid w:val="645D5087"/>
    <w:rsid w:val="64B57EDB"/>
    <w:rsid w:val="64BB590F"/>
    <w:rsid w:val="658479A5"/>
    <w:rsid w:val="65A95B2E"/>
    <w:rsid w:val="65F3117E"/>
    <w:rsid w:val="66E75D97"/>
    <w:rsid w:val="670A5956"/>
    <w:rsid w:val="67E7750C"/>
    <w:rsid w:val="68C6379B"/>
    <w:rsid w:val="696974AD"/>
    <w:rsid w:val="69D0330A"/>
    <w:rsid w:val="6AB94B24"/>
    <w:rsid w:val="6C07568D"/>
    <w:rsid w:val="6C1833A9"/>
    <w:rsid w:val="6CD94320"/>
    <w:rsid w:val="6D985ACA"/>
    <w:rsid w:val="6EBD66C5"/>
    <w:rsid w:val="7022064F"/>
    <w:rsid w:val="70581FFB"/>
    <w:rsid w:val="719A40A1"/>
    <w:rsid w:val="71FD2D49"/>
    <w:rsid w:val="72606BBD"/>
    <w:rsid w:val="72D249C9"/>
    <w:rsid w:val="736214A9"/>
    <w:rsid w:val="73BC5242"/>
    <w:rsid w:val="74C04A10"/>
    <w:rsid w:val="75307D2B"/>
    <w:rsid w:val="77C946A0"/>
    <w:rsid w:val="789D5C92"/>
    <w:rsid w:val="78E868BD"/>
    <w:rsid w:val="79883113"/>
    <w:rsid w:val="7DF83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1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67147"/>
    <w:rPr>
      <w:b/>
      <w:bCs/>
    </w:rPr>
  </w:style>
  <w:style w:type="paragraph" w:styleId="a4">
    <w:name w:val="annotation text"/>
    <w:basedOn w:val="a"/>
    <w:link w:val="Char0"/>
    <w:uiPriority w:val="99"/>
    <w:unhideWhenUsed/>
    <w:qFormat/>
    <w:rsid w:val="00E67147"/>
    <w:pPr>
      <w:jc w:val="left"/>
    </w:pPr>
  </w:style>
  <w:style w:type="paragraph" w:styleId="a5">
    <w:name w:val="Balloon Text"/>
    <w:basedOn w:val="a"/>
    <w:link w:val="Char1"/>
    <w:uiPriority w:val="99"/>
    <w:unhideWhenUsed/>
    <w:qFormat/>
    <w:rsid w:val="00E67147"/>
    <w:rPr>
      <w:sz w:val="18"/>
      <w:szCs w:val="18"/>
    </w:rPr>
  </w:style>
  <w:style w:type="paragraph" w:styleId="a6">
    <w:name w:val="footer"/>
    <w:basedOn w:val="a"/>
    <w:link w:val="Char2"/>
    <w:uiPriority w:val="99"/>
    <w:unhideWhenUsed/>
    <w:qFormat/>
    <w:rsid w:val="00E6714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E67147"/>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rsid w:val="00E67147"/>
    <w:pPr>
      <w:snapToGrid w:val="0"/>
      <w:jc w:val="left"/>
    </w:pPr>
    <w:rPr>
      <w:rFonts w:ascii="Times New Roman" w:eastAsia="宋体" w:hAnsi="Times New Roman" w:cs="Times New Roman"/>
      <w:sz w:val="18"/>
      <w:szCs w:val="20"/>
    </w:rPr>
  </w:style>
  <w:style w:type="character" w:styleId="a9">
    <w:name w:val="annotation reference"/>
    <w:basedOn w:val="a0"/>
    <w:uiPriority w:val="99"/>
    <w:unhideWhenUsed/>
    <w:qFormat/>
    <w:rsid w:val="00E67147"/>
    <w:rPr>
      <w:sz w:val="21"/>
      <w:szCs w:val="21"/>
    </w:rPr>
  </w:style>
  <w:style w:type="character" w:styleId="aa">
    <w:name w:val="footnote reference"/>
    <w:basedOn w:val="a0"/>
    <w:qFormat/>
    <w:rsid w:val="00E67147"/>
    <w:rPr>
      <w:vertAlign w:val="superscript"/>
    </w:rPr>
  </w:style>
  <w:style w:type="character" w:customStyle="1" w:styleId="Char3">
    <w:name w:val="页眉 Char"/>
    <w:basedOn w:val="a0"/>
    <w:link w:val="a7"/>
    <w:uiPriority w:val="99"/>
    <w:qFormat/>
    <w:locked/>
    <w:rsid w:val="00E67147"/>
    <w:rPr>
      <w:rFonts w:cs="Times New Roman"/>
      <w:sz w:val="18"/>
      <w:szCs w:val="18"/>
    </w:rPr>
  </w:style>
  <w:style w:type="character" w:customStyle="1" w:styleId="Char2">
    <w:name w:val="页脚 Char"/>
    <w:basedOn w:val="a0"/>
    <w:link w:val="a6"/>
    <w:uiPriority w:val="99"/>
    <w:qFormat/>
    <w:locked/>
    <w:rsid w:val="00E67147"/>
    <w:rPr>
      <w:rFonts w:cs="Times New Roman"/>
      <w:sz w:val="18"/>
      <w:szCs w:val="18"/>
    </w:rPr>
  </w:style>
  <w:style w:type="character" w:customStyle="1" w:styleId="Char1">
    <w:name w:val="批注框文本 Char"/>
    <w:basedOn w:val="a0"/>
    <w:link w:val="a5"/>
    <w:uiPriority w:val="99"/>
    <w:semiHidden/>
    <w:qFormat/>
    <w:rsid w:val="00E67147"/>
    <w:rPr>
      <w:rFonts w:cstheme="minorBidi"/>
      <w:sz w:val="18"/>
      <w:szCs w:val="18"/>
    </w:rPr>
  </w:style>
  <w:style w:type="character" w:customStyle="1" w:styleId="Char4">
    <w:name w:val="脚注文本 Char"/>
    <w:basedOn w:val="a0"/>
    <w:link w:val="a8"/>
    <w:qFormat/>
    <w:rsid w:val="00E67147"/>
    <w:rPr>
      <w:rFonts w:ascii="Times New Roman" w:eastAsia="宋体" w:hAnsi="Times New Roman"/>
      <w:sz w:val="18"/>
      <w:szCs w:val="20"/>
    </w:rPr>
  </w:style>
  <w:style w:type="paragraph" w:customStyle="1" w:styleId="CharCharCharCharCharChar1CharCharChar">
    <w:name w:val="Char Char Char Char Char Char1 Char Char Char"/>
    <w:basedOn w:val="a"/>
    <w:qFormat/>
    <w:rsid w:val="00E67147"/>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0">
    <w:name w:val="批注文字 Char"/>
    <w:basedOn w:val="a0"/>
    <w:link w:val="a4"/>
    <w:uiPriority w:val="99"/>
    <w:semiHidden/>
    <w:qFormat/>
    <w:rsid w:val="00E67147"/>
    <w:rPr>
      <w:rFonts w:cstheme="minorBidi"/>
      <w:kern w:val="2"/>
      <w:sz w:val="21"/>
      <w:szCs w:val="22"/>
    </w:rPr>
  </w:style>
  <w:style w:type="character" w:customStyle="1" w:styleId="Char">
    <w:name w:val="批注主题 Char"/>
    <w:basedOn w:val="Char0"/>
    <w:link w:val="a3"/>
    <w:uiPriority w:val="99"/>
    <w:semiHidden/>
    <w:qFormat/>
    <w:rsid w:val="00E67147"/>
    <w:rPr>
      <w:rFonts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700C5-C464-4837-A647-30DBF486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1811</Characters>
  <Application>Microsoft Office Word</Application>
  <DocSecurity>4</DocSecurity>
  <Lines>15</Lines>
  <Paragraphs>4</Paragraphs>
  <ScaleCrop>false</ScaleCrop>
  <Company>中加基金</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ZHONGM</cp:lastModifiedBy>
  <cp:revision>2</cp:revision>
  <cp:lastPrinted>2019-11-29T01:05:00Z</cp:lastPrinted>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