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0E" w:rsidRDefault="00D57D61">
      <w:pPr>
        <w:pStyle w:val="1"/>
      </w:pPr>
      <w:bookmarkStart w:id="0" w:name="_GoBack"/>
      <w:r>
        <w:rPr>
          <w:rFonts w:hint="eastAsia"/>
        </w:rPr>
        <w:t>富国中证新华社民族品牌工程交易型开放式指数证券投资基金联接基金</w:t>
      </w:r>
      <w:r>
        <w:rPr>
          <w:rFonts w:hint="eastAsia"/>
        </w:rPr>
        <w:t>基金份额持有人大会表决结果暨决议生效的公告</w:t>
      </w:r>
      <w:bookmarkEnd w:id="0"/>
    </w:p>
    <w:p w:rsidR="00847E0E" w:rsidRDefault="00847E0E">
      <w:pPr>
        <w:ind w:firstLine="480"/>
      </w:pPr>
    </w:p>
    <w:p w:rsidR="00847E0E" w:rsidRDefault="00D57D61">
      <w:pPr>
        <w:ind w:firstLine="480"/>
      </w:pPr>
      <w:r>
        <w:rPr>
          <w:rFonts w:hint="eastAsia"/>
        </w:rPr>
        <w:t>依据《中华人民共和国证券投资基金法》、《公开募集证券投资基金运作管理办法》、《</w:t>
      </w:r>
      <w:r>
        <w:rPr>
          <w:rFonts w:hint="eastAsia"/>
        </w:rPr>
        <w:t>富国中证新华社民族品牌工程交易型开放式指数证券投资基金联接基金</w:t>
      </w:r>
      <w:r>
        <w:rPr>
          <w:rFonts w:hint="eastAsia"/>
        </w:rPr>
        <w:t>基金合同》（以下简称“《基金合同》”）的有关规定，现将</w:t>
      </w:r>
      <w:r>
        <w:rPr>
          <w:rFonts w:hint="eastAsia"/>
        </w:rPr>
        <w:t>富国中证新华社民族品牌工程交易型开放式指数证券投资基金联接基金</w:t>
      </w:r>
      <w:r>
        <w:rPr>
          <w:rFonts w:hint="eastAsia"/>
        </w:rPr>
        <w:t>（以下简称“本基金”）基金份额持有人大会的相关事项公告如下</w:t>
      </w:r>
      <w:r>
        <w:t>：</w:t>
      </w:r>
    </w:p>
    <w:p w:rsidR="00847E0E" w:rsidRDefault="00D57D61">
      <w:pPr>
        <w:ind w:firstLine="482"/>
        <w:rPr>
          <w:b/>
          <w:bCs/>
        </w:rPr>
      </w:pPr>
      <w:r>
        <w:rPr>
          <w:rFonts w:hint="eastAsia"/>
          <w:b/>
          <w:bCs/>
        </w:rPr>
        <w:t>一、基金份额持有人大会会议情况</w:t>
      </w:r>
    </w:p>
    <w:p w:rsidR="00847E0E" w:rsidRDefault="00D57D61">
      <w:pPr>
        <w:ind w:firstLine="480"/>
      </w:pPr>
      <w:r>
        <w:rPr>
          <w:rFonts w:hint="eastAsia"/>
        </w:rPr>
        <w:t>本基金以通讯方式召开了基金份额持有人大会，大会投票表决起止时间为自</w:t>
      </w:r>
      <w:r>
        <w:rPr>
          <w:rFonts w:hint="eastAsia"/>
        </w:rPr>
        <w:t>2025</w:t>
      </w:r>
      <w:r>
        <w:rPr>
          <w:rFonts w:hint="eastAsia"/>
        </w:rPr>
        <w:t>年</w:t>
      </w:r>
      <w:r>
        <w:rPr>
          <w:rFonts w:hint="eastAsia"/>
        </w:rPr>
        <w:t>11</w:t>
      </w:r>
      <w:r>
        <w:rPr>
          <w:rFonts w:hint="eastAsia"/>
        </w:rPr>
        <w:t>月</w:t>
      </w:r>
      <w:r>
        <w:rPr>
          <w:rFonts w:hint="eastAsia"/>
        </w:rPr>
        <w:t>27</w:t>
      </w:r>
      <w:r>
        <w:rPr>
          <w:rFonts w:hint="eastAsia"/>
        </w:rPr>
        <w:t>日</w:t>
      </w:r>
      <w:r>
        <w:rPr>
          <w:rFonts w:hint="eastAsia"/>
        </w:rPr>
        <w:t>起，至</w:t>
      </w:r>
      <w:r>
        <w:rPr>
          <w:rFonts w:hint="eastAsia"/>
        </w:rPr>
        <w:t>2025</w:t>
      </w:r>
      <w:r>
        <w:rPr>
          <w:rFonts w:hint="eastAsia"/>
        </w:rPr>
        <w:t>年</w:t>
      </w:r>
      <w:r>
        <w:rPr>
          <w:rFonts w:hint="eastAsia"/>
        </w:rPr>
        <w:t>12</w:t>
      </w:r>
      <w:r>
        <w:rPr>
          <w:rFonts w:hint="eastAsia"/>
        </w:rPr>
        <w:t>月</w:t>
      </w:r>
      <w:r>
        <w:rPr>
          <w:rFonts w:hint="eastAsia"/>
        </w:rPr>
        <w:t>26</w:t>
      </w:r>
      <w:r>
        <w:rPr>
          <w:rFonts w:hint="eastAsia"/>
        </w:rPr>
        <w:t>日</w:t>
      </w:r>
      <w:r>
        <w:rPr>
          <w:rFonts w:hint="eastAsia"/>
        </w:rPr>
        <w:t>1</w:t>
      </w:r>
      <w:r>
        <w:t>7</w:t>
      </w:r>
      <w:r>
        <w:rPr>
          <w:rFonts w:hint="eastAsia"/>
        </w:rPr>
        <w:t>:0</w:t>
      </w:r>
      <w:r>
        <w:t>0</w:t>
      </w:r>
      <w:r>
        <w:t>止</w:t>
      </w:r>
      <w:r>
        <w:rPr>
          <w:rFonts w:hint="eastAsia"/>
        </w:rPr>
        <w:t>。</w:t>
      </w:r>
      <w:r>
        <w:rPr>
          <w:rFonts w:hint="eastAsia"/>
        </w:rPr>
        <w:t>2025</w:t>
      </w:r>
      <w:r>
        <w:rPr>
          <w:rFonts w:hint="eastAsia"/>
        </w:rPr>
        <w:t>年</w:t>
      </w:r>
      <w:r>
        <w:rPr>
          <w:rFonts w:hint="eastAsia"/>
        </w:rPr>
        <w:t>12</w:t>
      </w:r>
      <w:r>
        <w:rPr>
          <w:rFonts w:hint="eastAsia"/>
        </w:rPr>
        <w:t>月</w:t>
      </w:r>
      <w:r>
        <w:rPr>
          <w:rFonts w:hint="eastAsia"/>
        </w:rPr>
        <w:t>29</w:t>
      </w:r>
      <w:r>
        <w:rPr>
          <w:rFonts w:hint="eastAsia"/>
        </w:rPr>
        <w:t>日</w:t>
      </w:r>
      <w:r>
        <w:rPr>
          <w:rFonts w:hint="eastAsia"/>
        </w:rPr>
        <w:t>，在本基金的基金托管人</w:t>
      </w:r>
      <w:r>
        <w:rPr>
          <w:rFonts w:hint="eastAsia"/>
        </w:rPr>
        <w:t>中国银行</w:t>
      </w:r>
      <w:r>
        <w:rPr>
          <w:rFonts w:hint="eastAsia"/>
        </w:rPr>
        <w:t>股份有限公司授权代表的监督下，本基金管理人对本次大会表决进行了计票，上海市通力律师事务所对计票过程进行了见证，上海市东方公证处对计票过程及结果进行了公证。经统计，基金份额持有人及其代理人所代表的有效表决份额</w:t>
      </w:r>
      <w:r>
        <w:rPr>
          <w:rFonts w:hint="eastAsia"/>
        </w:rPr>
        <w:t>11,327,067.43</w:t>
      </w:r>
      <w:r>
        <w:rPr>
          <w:rFonts w:hint="eastAsia"/>
        </w:rPr>
        <w:t>份，占权益登记日基金总份额</w:t>
      </w:r>
      <w:r>
        <w:rPr>
          <w:rFonts w:hint="eastAsia"/>
        </w:rPr>
        <w:t>19,391,072.75</w:t>
      </w:r>
      <w:r>
        <w:rPr>
          <w:rFonts w:hint="eastAsia"/>
        </w:rPr>
        <w:t>份的</w:t>
      </w:r>
      <w:r>
        <w:rPr>
          <w:rFonts w:hint="eastAsia"/>
        </w:rPr>
        <w:t>58.41%</w:t>
      </w:r>
      <w:r>
        <w:rPr>
          <w:rFonts w:hint="eastAsia"/>
        </w:rPr>
        <w:t>，符合《中华人民共和国证券投资</w:t>
      </w:r>
      <w:r>
        <w:rPr>
          <w:rFonts w:hint="eastAsia"/>
        </w:rPr>
        <w:t>基金法》、《公开募集证券投资基金运作管理办法》和《</w:t>
      </w:r>
      <w:r>
        <w:rPr>
          <w:rFonts w:hint="eastAsia"/>
        </w:rPr>
        <w:t>富国中证新华社民族品牌工程交易型开放式指数证券投资基金联接基金</w:t>
      </w:r>
      <w:r>
        <w:rPr>
          <w:rFonts w:hint="eastAsia"/>
        </w:rPr>
        <w:t>基金合同》有关持有人大会（通讯方式）的召开条件。</w:t>
      </w:r>
    </w:p>
    <w:p w:rsidR="00847E0E" w:rsidRDefault="00D57D61">
      <w:pPr>
        <w:ind w:firstLine="480"/>
      </w:pPr>
      <w:r>
        <w:rPr>
          <w:rFonts w:hint="eastAsia"/>
        </w:rPr>
        <w:t>会议审议了《关于持续运作</w:t>
      </w:r>
      <w:r>
        <w:rPr>
          <w:rFonts w:hint="eastAsia"/>
        </w:rPr>
        <w:t>富国中证新华社民族品牌工程交易型开放式指数证券投资基金联接基金</w:t>
      </w:r>
      <w:r>
        <w:rPr>
          <w:rFonts w:hint="eastAsia"/>
        </w:rPr>
        <w:t>的议案》（以下简称“本次会议议案”），并由参加大会的基金份额持有人对本次会议议案进行表决。表决结果为：</w:t>
      </w:r>
      <w:r>
        <w:rPr>
          <w:rFonts w:hint="eastAsia"/>
        </w:rPr>
        <w:t>11,327,067.43</w:t>
      </w:r>
      <w:r>
        <w:rPr>
          <w:rFonts w:hint="eastAsia"/>
        </w:rPr>
        <w:t>份基金份额表示同意，</w:t>
      </w:r>
      <w:r>
        <w:rPr>
          <w:rFonts w:hint="eastAsia"/>
        </w:rPr>
        <w:t>0</w:t>
      </w:r>
      <w:r>
        <w:rPr>
          <w:rFonts w:hint="eastAsia"/>
        </w:rPr>
        <w:t>份基金份额表示反对，</w:t>
      </w:r>
      <w:r>
        <w:rPr>
          <w:rFonts w:hint="eastAsia"/>
        </w:rPr>
        <w:t>0</w:t>
      </w:r>
      <w:r>
        <w:rPr>
          <w:rFonts w:hint="eastAsia"/>
        </w:rPr>
        <w:t>份基金份额表示弃权。同意本次议案的基金份额占参加本次大会的持有人所持基金份额的</w:t>
      </w:r>
      <w:r>
        <w:t>100</w:t>
      </w:r>
      <w:r>
        <w:rPr>
          <w:rFonts w:hint="eastAsia"/>
        </w:rPr>
        <w:t>％，达到</w:t>
      </w:r>
      <w:r>
        <w:rPr>
          <w:rFonts w:hint="eastAsia"/>
        </w:rPr>
        <w:t>二分之一以上，符合《中华人民共和国证券投资基金法》、《公开募集证券投资基金运作管理办法》和《</w:t>
      </w:r>
      <w:r>
        <w:rPr>
          <w:rFonts w:hint="eastAsia"/>
        </w:rPr>
        <w:t>富国中证新华社民族品牌工程交易型开放式指数证券投资基金联接基金</w:t>
      </w:r>
      <w:r>
        <w:rPr>
          <w:rFonts w:hint="eastAsia"/>
        </w:rPr>
        <w:t>基金合同》的有关规定，本次会议议案获得通过。</w:t>
      </w:r>
    </w:p>
    <w:p w:rsidR="00847E0E" w:rsidRDefault="00D57D61">
      <w:pPr>
        <w:ind w:firstLine="480"/>
      </w:pPr>
      <w:r>
        <w:rPr>
          <w:rFonts w:hint="eastAsia"/>
        </w:rPr>
        <w:t>为保护基金份额持有人利益，本次召开持有人大会的律师费、公证费由基金</w:t>
      </w:r>
      <w:r>
        <w:rPr>
          <w:rFonts w:hint="eastAsia"/>
        </w:rPr>
        <w:lastRenderedPageBreak/>
        <w:t>管理人承担，本次会议费用如下表：</w:t>
      </w:r>
    </w:p>
    <w:tbl>
      <w:tblPr>
        <w:tblStyle w:val="aa"/>
        <w:tblW w:w="0" w:type="auto"/>
        <w:tblLook w:val="04A0"/>
      </w:tblPr>
      <w:tblGrid>
        <w:gridCol w:w="4148"/>
        <w:gridCol w:w="4148"/>
      </w:tblGrid>
      <w:tr w:rsidR="00847E0E">
        <w:tc>
          <w:tcPr>
            <w:tcW w:w="4148" w:type="dxa"/>
          </w:tcPr>
          <w:p w:rsidR="00847E0E" w:rsidRDefault="00D57D61">
            <w:pPr>
              <w:ind w:firstLineChars="0" w:firstLine="0"/>
              <w:jc w:val="center"/>
              <w:rPr>
                <w:b/>
                <w:bCs/>
              </w:rPr>
            </w:pPr>
            <w:r>
              <w:rPr>
                <w:rFonts w:hint="eastAsia"/>
                <w:b/>
                <w:bCs/>
              </w:rPr>
              <w:t>项目</w:t>
            </w:r>
          </w:p>
        </w:tc>
        <w:tc>
          <w:tcPr>
            <w:tcW w:w="4148" w:type="dxa"/>
          </w:tcPr>
          <w:p w:rsidR="00847E0E" w:rsidRDefault="00D57D61">
            <w:pPr>
              <w:ind w:firstLineChars="0" w:firstLine="0"/>
              <w:jc w:val="center"/>
              <w:rPr>
                <w:b/>
                <w:bCs/>
              </w:rPr>
            </w:pPr>
            <w:r>
              <w:rPr>
                <w:rFonts w:hint="eastAsia"/>
                <w:b/>
                <w:bCs/>
              </w:rPr>
              <w:t>金额（单位：元）</w:t>
            </w:r>
          </w:p>
        </w:tc>
      </w:tr>
      <w:tr w:rsidR="00847E0E">
        <w:tc>
          <w:tcPr>
            <w:tcW w:w="4148" w:type="dxa"/>
          </w:tcPr>
          <w:p w:rsidR="00847E0E" w:rsidRDefault="00D57D61">
            <w:pPr>
              <w:ind w:firstLineChars="0" w:firstLine="0"/>
            </w:pPr>
            <w:r>
              <w:rPr>
                <w:rFonts w:hint="eastAsia"/>
              </w:rPr>
              <w:t>律师费</w:t>
            </w:r>
          </w:p>
        </w:tc>
        <w:tc>
          <w:tcPr>
            <w:tcW w:w="4148" w:type="dxa"/>
          </w:tcPr>
          <w:p w:rsidR="00847E0E" w:rsidRDefault="00D57D61">
            <w:pPr>
              <w:ind w:firstLineChars="0" w:firstLine="0"/>
            </w:pPr>
            <w:r>
              <w:rPr>
                <w:rFonts w:hint="eastAsia"/>
              </w:rPr>
              <w:t>25000</w:t>
            </w:r>
          </w:p>
        </w:tc>
      </w:tr>
      <w:tr w:rsidR="00847E0E">
        <w:tc>
          <w:tcPr>
            <w:tcW w:w="4148" w:type="dxa"/>
          </w:tcPr>
          <w:p w:rsidR="00847E0E" w:rsidRDefault="00D57D61">
            <w:pPr>
              <w:ind w:firstLineChars="0" w:firstLine="0"/>
            </w:pPr>
            <w:r>
              <w:rPr>
                <w:rFonts w:hint="eastAsia"/>
              </w:rPr>
              <w:t>公证费</w:t>
            </w:r>
          </w:p>
        </w:tc>
        <w:tc>
          <w:tcPr>
            <w:tcW w:w="4148" w:type="dxa"/>
          </w:tcPr>
          <w:p w:rsidR="00847E0E" w:rsidRDefault="00D57D61">
            <w:pPr>
              <w:ind w:firstLineChars="0" w:firstLine="0"/>
            </w:pPr>
            <w:r>
              <w:rPr>
                <w:rFonts w:hint="eastAsia"/>
              </w:rPr>
              <w:t>1</w:t>
            </w:r>
            <w:r>
              <w:t>0000</w:t>
            </w:r>
          </w:p>
        </w:tc>
      </w:tr>
      <w:tr w:rsidR="00847E0E">
        <w:tc>
          <w:tcPr>
            <w:tcW w:w="4148" w:type="dxa"/>
          </w:tcPr>
          <w:p w:rsidR="00847E0E" w:rsidRDefault="00D57D61">
            <w:pPr>
              <w:ind w:firstLineChars="0" w:firstLine="0"/>
            </w:pPr>
            <w:r>
              <w:rPr>
                <w:rFonts w:hint="eastAsia"/>
              </w:rPr>
              <w:t>合计</w:t>
            </w:r>
          </w:p>
        </w:tc>
        <w:tc>
          <w:tcPr>
            <w:tcW w:w="4148" w:type="dxa"/>
          </w:tcPr>
          <w:p w:rsidR="00847E0E" w:rsidRDefault="00D57D61">
            <w:pPr>
              <w:ind w:firstLineChars="0" w:firstLine="0"/>
            </w:pPr>
            <w:r>
              <w:rPr>
                <w:rFonts w:hint="eastAsia"/>
              </w:rPr>
              <w:t>35</w:t>
            </w:r>
            <w:r>
              <w:t>000</w:t>
            </w:r>
          </w:p>
        </w:tc>
      </w:tr>
    </w:tbl>
    <w:p w:rsidR="00847E0E" w:rsidRDefault="00D57D61">
      <w:pPr>
        <w:ind w:firstLine="482"/>
        <w:rPr>
          <w:b/>
          <w:bCs/>
        </w:rPr>
      </w:pPr>
      <w:r>
        <w:rPr>
          <w:rFonts w:hint="eastAsia"/>
          <w:b/>
          <w:bCs/>
        </w:rPr>
        <w:t>二</w:t>
      </w:r>
      <w:r>
        <w:rPr>
          <w:rFonts w:hint="eastAsia"/>
          <w:b/>
          <w:bCs/>
        </w:rPr>
        <w:t>、本次基金份额持有人大会决议的生效</w:t>
      </w:r>
    </w:p>
    <w:p w:rsidR="00847E0E" w:rsidRDefault="00D57D61">
      <w:pPr>
        <w:ind w:firstLine="480"/>
      </w:pPr>
      <w:r>
        <w:rPr>
          <w:rFonts w:hint="eastAsia"/>
        </w:rPr>
        <w:t>根据《公开募集证券投资基金运作管理办法》的规定，基金份额持有人大会决定的事项自表决通过之日起生效。</w:t>
      </w:r>
      <w:r>
        <w:rPr>
          <w:rFonts w:hint="eastAsia"/>
        </w:rPr>
        <w:t>富国中证新华社民族品牌工程交易型开放式指数证券投资基金联接基金</w:t>
      </w:r>
      <w:r>
        <w:rPr>
          <w:rFonts w:hint="eastAsia"/>
        </w:rPr>
        <w:t>基金份额持有人大会已于</w:t>
      </w:r>
      <w:r>
        <w:rPr>
          <w:rFonts w:hint="eastAsia"/>
        </w:rPr>
        <w:t>2025</w:t>
      </w:r>
      <w:r>
        <w:rPr>
          <w:rFonts w:hint="eastAsia"/>
        </w:rPr>
        <w:t>年</w:t>
      </w:r>
      <w:r>
        <w:rPr>
          <w:rFonts w:hint="eastAsia"/>
        </w:rPr>
        <w:t>11</w:t>
      </w:r>
      <w:r>
        <w:rPr>
          <w:rFonts w:hint="eastAsia"/>
        </w:rPr>
        <w:t>月</w:t>
      </w:r>
      <w:r>
        <w:rPr>
          <w:rFonts w:hint="eastAsia"/>
        </w:rPr>
        <w:t>27</w:t>
      </w:r>
      <w:r>
        <w:rPr>
          <w:rFonts w:hint="eastAsia"/>
        </w:rPr>
        <w:t>日</w:t>
      </w:r>
      <w:r>
        <w:rPr>
          <w:rFonts w:hint="eastAsia"/>
        </w:rPr>
        <w:t>起，至</w:t>
      </w:r>
      <w:r>
        <w:rPr>
          <w:rFonts w:hint="eastAsia"/>
        </w:rPr>
        <w:t>2025</w:t>
      </w:r>
      <w:r>
        <w:rPr>
          <w:rFonts w:hint="eastAsia"/>
        </w:rPr>
        <w:t>年</w:t>
      </w:r>
      <w:r>
        <w:rPr>
          <w:rFonts w:hint="eastAsia"/>
        </w:rPr>
        <w:t>12</w:t>
      </w:r>
      <w:r>
        <w:rPr>
          <w:rFonts w:hint="eastAsia"/>
        </w:rPr>
        <w:t>月</w:t>
      </w:r>
      <w:r>
        <w:rPr>
          <w:rFonts w:hint="eastAsia"/>
        </w:rPr>
        <w:t>26</w:t>
      </w:r>
      <w:r>
        <w:rPr>
          <w:rFonts w:hint="eastAsia"/>
        </w:rPr>
        <w:t>日</w:t>
      </w:r>
      <w:r>
        <w:rPr>
          <w:rFonts w:hint="eastAsia"/>
        </w:rPr>
        <w:t>17</w:t>
      </w:r>
      <w:r>
        <w:rPr>
          <w:rFonts w:hint="eastAsia"/>
        </w:rPr>
        <w:t>：</w:t>
      </w:r>
      <w:r>
        <w:rPr>
          <w:rFonts w:hint="eastAsia"/>
        </w:rPr>
        <w:t>00</w:t>
      </w:r>
      <w:r>
        <w:rPr>
          <w:rFonts w:hint="eastAsia"/>
        </w:rPr>
        <w:t>止对本次会议议案进行了投票表决，根据</w:t>
      </w:r>
      <w:r>
        <w:rPr>
          <w:rFonts w:hint="eastAsia"/>
        </w:rPr>
        <w:t>2025</w:t>
      </w:r>
      <w:r>
        <w:rPr>
          <w:rFonts w:hint="eastAsia"/>
        </w:rPr>
        <w:t>年</w:t>
      </w:r>
      <w:r>
        <w:rPr>
          <w:rFonts w:hint="eastAsia"/>
        </w:rPr>
        <w:t>12</w:t>
      </w:r>
      <w:r>
        <w:rPr>
          <w:rFonts w:hint="eastAsia"/>
        </w:rPr>
        <w:t>月</w:t>
      </w:r>
      <w:r>
        <w:rPr>
          <w:rFonts w:hint="eastAsia"/>
        </w:rPr>
        <w:t>29</w:t>
      </w:r>
      <w:r>
        <w:rPr>
          <w:rFonts w:hint="eastAsia"/>
        </w:rPr>
        <w:t>日</w:t>
      </w:r>
      <w:r>
        <w:rPr>
          <w:rFonts w:hint="eastAsia"/>
        </w:rPr>
        <w:t>的计票结果，本次会议议案获得通过，本次大会决议自</w:t>
      </w:r>
      <w:r>
        <w:rPr>
          <w:rFonts w:hint="eastAsia"/>
        </w:rPr>
        <w:t>2025</w:t>
      </w:r>
      <w:r>
        <w:rPr>
          <w:rFonts w:hint="eastAsia"/>
        </w:rPr>
        <w:t>年</w:t>
      </w:r>
      <w:r>
        <w:rPr>
          <w:rFonts w:hint="eastAsia"/>
        </w:rPr>
        <w:t>12</w:t>
      </w:r>
      <w:r>
        <w:rPr>
          <w:rFonts w:hint="eastAsia"/>
        </w:rPr>
        <w:t>月</w:t>
      </w:r>
      <w:r>
        <w:rPr>
          <w:rFonts w:hint="eastAsia"/>
        </w:rPr>
        <w:t>29</w:t>
      </w:r>
      <w:r>
        <w:rPr>
          <w:rFonts w:hint="eastAsia"/>
        </w:rPr>
        <w:t>日</w:t>
      </w:r>
      <w:r>
        <w:rPr>
          <w:rFonts w:hint="eastAsia"/>
        </w:rPr>
        <w:t>起生效。</w:t>
      </w:r>
    </w:p>
    <w:p w:rsidR="00847E0E" w:rsidRDefault="00D57D61">
      <w:pPr>
        <w:ind w:firstLine="480"/>
      </w:pPr>
      <w:r>
        <w:rPr>
          <w:rFonts w:hint="eastAsia"/>
        </w:rPr>
        <w:t>基金管理人将自该日起五日内将表决通过的事项报中国证券监督管理委员会</w:t>
      </w:r>
    </w:p>
    <w:p w:rsidR="00847E0E" w:rsidRDefault="00D57D61">
      <w:pPr>
        <w:ind w:firstLine="482"/>
        <w:rPr>
          <w:b/>
          <w:bCs/>
        </w:rPr>
      </w:pPr>
      <w:r>
        <w:rPr>
          <w:rFonts w:hint="eastAsia"/>
          <w:b/>
          <w:bCs/>
        </w:rPr>
        <w:t>三</w:t>
      </w:r>
      <w:r>
        <w:rPr>
          <w:rFonts w:hint="eastAsia"/>
          <w:b/>
          <w:bCs/>
        </w:rPr>
        <w:t>、决议生效后的相关事项实施情况</w:t>
      </w:r>
    </w:p>
    <w:p w:rsidR="00847E0E" w:rsidRDefault="00D57D61">
      <w:pPr>
        <w:ind w:firstLine="480"/>
      </w:pPr>
      <w:r>
        <w:rPr>
          <w:rFonts w:hint="eastAsia"/>
        </w:rPr>
        <w:t>本次基金份额持有人大会决议生效</w:t>
      </w:r>
      <w:r>
        <w:rPr>
          <w:rFonts w:hint="eastAsia"/>
        </w:rPr>
        <w:t>后，本基金继续存续期间，运作方式不发生改变，仍为契约型开放式。本基金将继续基金合同约定的现有投资策略，推进平稳运作。</w:t>
      </w:r>
    </w:p>
    <w:p w:rsidR="00847E0E" w:rsidRDefault="00D57D61">
      <w:pPr>
        <w:ind w:firstLine="482"/>
        <w:rPr>
          <w:b/>
        </w:rPr>
      </w:pPr>
      <w:r>
        <w:rPr>
          <w:rFonts w:hint="eastAsia"/>
          <w:b/>
        </w:rPr>
        <w:t>四</w:t>
      </w:r>
      <w:r>
        <w:rPr>
          <w:rFonts w:hint="eastAsia"/>
          <w:b/>
        </w:rPr>
        <w:t>、备查文件</w:t>
      </w:r>
    </w:p>
    <w:p w:rsidR="00847E0E" w:rsidRDefault="00D57D61">
      <w:pPr>
        <w:ind w:firstLine="480"/>
      </w:pPr>
      <w:r>
        <w:rPr>
          <w:rFonts w:hint="eastAsia"/>
        </w:rPr>
        <w:t>1</w:t>
      </w:r>
      <w:r>
        <w:rPr>
          <w:rFonts w:hint="eastAsia"/>
        </w:rPr>
        <w:t>、《富国基金管理有限公司关于以通讯方式召开</w:t>
      </w:r>
      <w:r>
        <w:rPr>
          <w:rFonts w:hint="eastAsia"/>
        </w:rPr>
        <w:t>富国中证新华社民族品牌工程交易型开放式指数证券投资基金联接基金</w:t>
      </w:r>
      <w:r>
        <w:rPr>
          <w:rFonts w:hint="eastAsia"/>
        </w:rPr>
        <w:t>基金份额持有人大会的公告》（附件一：《关于持续运作</w:t>
      </w:r>
      <w:r>
        <w:rPr>
          <w:rFonts w:hint="eastAsia"/>
        </w:rPr>
        <w:t>富国中证新华社民族品牌工程交易型开放式指数证券投资基金联接基金</w:t>
      </w:r>
      <w:r>
        <w:rPr>
          <w:rFonts w:hint="eastAsia"/>
        </w:rPr>
        <w:t>的议案》，附件二：《</w:t>
      </w:r>
      <w:r>
        <w:rPr>
          <w:rFonts w:hint="eastAsia"/>
        </w:rPr>
        <w:t>富国中证新华社民族品牌工程交易型开放式指数证券投资基金联接基金</w:t>
      </w:r>
      <w:r>
        <w:rPr>
          <w:rFonts w:hint="eastAsia"/>
        </w:rPr>
        <w:t>基金份额持有人大会通讯表决票》，附件三：《授权委托书》）</w:t>
      </w:r>
    </w:p>
    <w:p w:rsidR="00847E0E" w:rsidRDefault="00D57D61">
      <w:pPr>
        <w:ind w:firstLine="480"/>
      </w:pPr>
      <w:r>
        <w:rPr>
          <w:rFonts w:hint="eastAsia"/>
        </w:rPr>
        <w:t>2</w:t>
      </w:r>
      <w:r>
        <w:rPr>
          <w:rFonts w:hint="eastAsia"/>
        </w:rPr>
        <w:t>、《公证书》</w:t>
      </w:r>
    </w:p>
    <w:p w:rsidR="00847E0E" w:rsidRDefault="00847E0E">
      <w:pPr>
        <w:ind w:firstLine="480"/>
      </w:pPr>
    </w:p>
    <w:p w:rsidR="00847E0E" w:rsidRDefault="00D57D61">
      <w:pPr>
        <w:ind w:firstLine="480"/>
      </w:pPr>
      <w:r>
        <w:t>特此公告</w:t>
      </w:r>
      <w:r>
        <w:rPr>
          <w:rFonts w:hint="eastAsia"/>
        </w:rPr>
        <w:t>。</w:t>
      </w:r>
    </w:p>
    <w:p w:rsidR="00847E0E" w:rsidRDefault="00D57D61">
      <w:pPr>
        <w:ind w:firstLine="480"/>
        <w:jc w:val="right"/>
      </w:pPr>
      <w:r>
        <w:t>富国基金管理有限公司</w:t>
      </w:r>
    </w:p>
    <w:p w:rsidR="00847E0E" w:rsidRDefault="00D57D61">
      <w:pPr>
        <w:ind w:firstLine="480"/>
        <w:jc w:val="right"/>
      </w:pPr>
      <w:r>
        <w:rPr>
          <w:rFonts w:hint="eastAsia"/>
        </w:rPr>
        <w:t>202</w:t>
      </w:r>
      <w:r>
        <w:rPr>
          <w:rFonts w:hint="eastAsia"/>
        </w:rPr>
        <w:t>5</w:t>
      </w:r>
      <w:r>
        <w:rPr>
          <w:rFonts w:hint="eastAsia"/>
        </w:rPr>
        <w:t>年</w:t>
      </w:r>
      <w:r>
        <w:rPr>
          <w:rFonts w:hint="eastAsia"/>
        </w:rPr>
        <w:t>12</w:t>
      </w:r>
      <w:r>
        <w:rPr>
          <w:rFonts w:hint="eastAsia"/>
        </w:rPr>
        <w:t>月</w:t>
      </w:r>
      <w:r>
        <w:rPr>
          <w:rFonts w:hint="eastAsia"/>
        </w:rPr>
        <w:t>30</w:t>
      </w:r>
      <w:r>
        <w:rPr>
          <w:rFonts w:hint="eastAsia"/>
        </w:rPr>
        <w:t>日</w:t>
      </w:r>
    </w:p>
    <w:p w:rsidR="00847E0E" w:rsidRDefault="00D57D61">
      <w:pPr>
        <w:widowControl/>
        <w:spacing w:line="240" w:lineRule="auto"/>
        <w:ind w:firstLineChars="0" w:firstLine="0"/>
        <w:jc w:val="left"/>
      </w:pPr>
      <w:r>
        <w:br w:type="page"/>
      </w:r>
    </w:p>
    <w:p w:rsidR="00847E0E" w:rsidRDefault="00D57D61">
      <w:pPr>
        <w:spacing w:line="560" w:lineRule="exact"/>
        <w:ind w:left="800" w:hangingChars="200" w:hanging="800"/>
        <w:jc w:val="center"/>
        <w:rPr>
          <w:rFonts w:asciiTheme="minorEastAsia" w:eastAsiaTheme="minorEastAsia" w:hAnsiTheme="minorEastAsia"/>
          <w:color w:val="000000"/>
          <w:sz w:val="40"/>
        </w:rPr>
      </w:pPr>
      <w:r>
        <w:rPr>
          <w:rFonts w:asciiTheme="minorEastAsia" w:eastAsiaTheme="minorEastAsia" w:hAnsiTheme="minorEastAsia" w:hint="eastAsia"/>
          <w:color w:val="000000"/>
          <w:sz w:val="40"/>
        </w:rPr>
        <w:lastRenderedPageBreak/>
        <w:t>公</w:t>
      </w:r>
      <w:r>
        <w:rPr>
          <w:rFonts w:asciiTheme="minorEastAsia" w:eastAsiaTheme="minorEastAsia" w:hAnsiTheme="minorEastAsia" w:hint="eastAsia"/>
          <w:color w:val="000000"/>
          <w:sz w:val="40"/>
        </w:rPr>
        <w:t xml:space="preserve">  </w:t>
      </w:r>
      <w:r>
        <w:rPr>
          <w:rFonts w:asciiTheme="minorEastAsia" w:eastAsiaTheme="minorEastAsia" w:hAnsiTheme="minorEastAsia" w:hint="eastAsia"/>
          <w:color w:val="000000"/>
          <w:sz w:val="40"/>
        </w:rPr>
        <w:t>证</w:t>
      </w:r>
      <w:r>
        <w:rPr>
          <w:rFonts w:asciiTheme="minorEastAsia" w:eastAsiaTheme="minorEastAsia" w:hAnsiTheme="minorEastAsia" w:hint="eastAsia"/>
          <w:color w:val="000000"/>
          <w:sz w:val="40"/>
        </w:rPr>
        <w:t xml:space="preserve">  </w:t>
      </w:r>
      <w:r>
        <w:rPr>
          <w:rFonts w:asciiTheme="minorEastAsia" w:eastAsiaTheme="minorEastAsia" w:hAnsiTheme="minorEastAsia" w:hint="eastAsia"/>
          <w:color w:val="000000"/>
          <w:sz w:val="40"/>
        </w:rPr>
        <w:t>书</w:t>
      </w:r>
    </w:p>
    <w:p w:rsidR="00847E0E" w:rsidRDefault="00847E0E">
      <w:pPr>
        <w:spacing w:line="560" w:lineRule="exact"/>
        <w:ind w:left="440" w:hangingChars="200" w:hanging="440"/>
        <w:jc w:val="center"/>
        <w:rPr>
          <w:rFonts w:asciiTheme="minorEastAsia" w:eastAsiaTheme="minorEastAsia" w:hAnsiTheme="minorEastAsia"/>
          <w:color w:val="000000"/>
          <w:sz w:val="22"/>
        </w:rPr>
      </w:pPr>
    </w:p>
    <w:p w:rsidR="00847E0E" w:rsidRDefault="00847E0E">
      <w:pPr>
        <w:spacing w:line="560" w:lineRule="exact"/>
        <w:ind w:left="440" w:hangingChars="200" w:hanging="440"/>
        <w:jc w:val="center"/>
        <w:rPr>
          <w:rFonts w:asciiTheme="minorEastAsia" w:eastAsiaTheme="minorEastAsia" w:hAnsiTheme="minorEastAsia"/>
          <w:color w:val="000000"/>
          <w:sz w:val="22"/>
        </w:rPr>
      </w:pPr>
    </w:p>
    <w:p w:rsidR="00847E0E" w:rsidRDefault="00D57D61">
      <w:pPr>
        <w:ind w:firstLine="480"/>
        <w:jc w:val="right"/>
      </w:pPr>
      <w:bookmarkStart w:id="1" w:name="公证书编号__1"/>
      <w:r>
        <w:rPr>
          <w:rFonts w:asciiTheme="minorEastAsia" w:eastAsiaTheme="minorEastAsia" w:hAnsiTheme="minorEastAsia" w:hint="eastAsia"/>
        </w:rPr>
        <w:t>（</w:t>
      </w:r>
      <w:r>
        <w:rPr>
          <w:rFonts w:asciiTheme="minorEastAsia" w:eastAsiaTheme="minorEastAsia" w:hAnsiTheme="minorEastAsia" w:hint="eastAsia"/>
        </w:rPr>
        <w:t>202</w:t>
      </w:r>
      <w:r>
        <w:rPr>
          <w:rFonts w:asciiTheme="minorEastAsia" w:eastAsiaTheme="minorEastAsia" w:hAnsiTheme="minorEastAsia" w:hint="eastAsia"/>
        </w:rPr>
        <w:t>5</w:t>
      </w:r>
      <w:r>
        <w:rPr>
          <w:rFonts w:asciiTheme="minorEastAsia" w:eastAsiaTheme="minorEastAsia" w:hAnsiTheme="minorEastAsia" w:hint="eastAsia"/>
        </w:rPr>
        <w:t>）沪东证经字第</w:t>
      </w:r>
      <w:r>
        <w:rPr>
          <w:rFonts w:asciiTheme="minorEastAsia" w:eastAsiaTheme="minorEastAsia" w:hAnsiTheme="minorEastAsia" w:hint="eastAsia"/>
        </w:rPr>
        <w:t>9632</w:t>
      </w:r>
      <w:r>
        <w:rPr>
          <w:rFonts w:asciiTheme="minorEastAsia" w:eastAsiaTheme="minorEastAsia" w:hAnsiTheme="minorEastAsia" w:hint="eastAsia"/>
        </w:rPr>
        <w:t>号</w:t>
      </w:r>
      <w:bookmarkEnd w:id="1"/>
    </w:p>
    <w:p w:rsidR="00847E0E" w:rsidRDefault="00D57D61">
      <w:pPr>
        <w:ind w:firstLine="480"/>
        <w:jc w:val="left"/>
      </w:pPr>
      <w:r>
        <w:rPr>
          <w:rFonts w:hint="eastAsia"/>
        </w:rPr>
        <w:t>申请人：富国基金管理有限公司，住所：中国（上海）自由贸易试验区世纪大道</w:t>
      </w:r>
      <w:r>
        <w:rPr>
          <w:rFonts w:hint="eastAsia"/>
        </w:rPr>
        <w:t>1196</w:t>
      </w:r>
      <w:r>
        <w:rPr>
          <w:rFonts w:hint="eastAsia"/>
        </w:rPr>
        <w:t>号世纪汇办公楼</w:t>
      </w:r>
      <w:r>
        <w:rPr>
          <w:rFonts w:hint="eastAsia"/>
        </w:rPr>
        <w:t>2</w:t>
      </w:r>
      <w:r>
        <w:rPr>
          <w:rFonts w:hint="eastAsia"/>
        </w:rPr>
        <w:t>座</w:t>
      </w:r>
      <w:r>
        <w:rPr>
          <w:rFonts w:hint="eastAsia"/>
        </w:rPr>
        <w:t>27-30</w:t>
      </w:r>
      <w:r>
        <w:rPr>
          <w:rFonts w:hint="eastAsia"/>
        </w:rPr>
        <w:t>层。</w:t>
      </w:r>
    </w:p>
    <w:p w:rsidR="00847E0E" w:rsidRDefault="00D57D61">
      <w:pPr>
        <w:ind w:firstLine="480"/>
        <w:jc w:val="left"/>
      </w:pPr>
      <w:r>
        <w:rPr>
          <w:rFonts w:hint="eastAsia"/>
        </w:rPr>
        <w:t>法定代表人：裴长江。</w:t>
      </w:r>
    </w:p>
    <w:p w:rsidR="00847E0E" w:rsidRDefault="00D57D61">
      <w:pPr>
        <w:ind w:firstLine="480"/>
        <w:jc w:val="left"/>
      </w:pPr>
      <w:r>
        <w:rPr>
          <w:rFonts w:hint="eastAsia"/>
        </w:rPr>
        <w:t>委托代理人：陈文敏，女，</w:t>
      </w:r>
      <w:r>
        <w:rPr>
          <w:rFonts w:hint="eastAsia"/>
        </w:rPr>
        <w:t>1997</w:t>
      </w:r>
      <w:r>
        <w:rPr>
          <w:rFonts w:hint="eastAsia"/>
        </w:rPr>
        <w:t>年</w:t>
      </w:r>
      <w:r>
        <w:rPr>
          <w:rFonts w:hint="eastAsia"/>
        </w:rPr>
        <w:t>1</w:t>
      </w:r>
      <w:r>
        <w:rPr>
          <w:rFonts w:hint="eastAsia"/>
        </w:rPr>
        <w:t>月</w:t>
      </w:r>
      <w:r>
        <w:rPr>
          <w:rFonts w:hint="eastAsia"/>
        </w:rPr>
        <w:t>1</w:t>
      </w:r>
      <w:r>
        <w:rPr>
          <w:rFonts w:hint="eastAsia"/>
        </w:rPr>
        <w:t>日出生，公民身份号码：</w:t>
      </w:r>
      <w:r>
        <w:rPr>
          <w:rFonts w:hint="eastAsia"/>
        </w:rPr>
        <w:t>XXXXXXXXXXXXXXXXXX</w:t>
      </w:r>
      <w:r>
        <w:rPr>
          <w:rFonts w:hint="eastAsia"/>
        </w:rPr>
        <w:t>。</w:t>
      </w:r>
    </w:p>
    <w:p w:rsidR="00847E0E" w:rsidRDefault="00D57D61">
      <w:pPr>
        <w:ind w:firstLine="480"/>
        <w:jc w:val="left"/>
      </w:pPr>
      <w:r>
        <w:rPr>
          <w:rFonts w:hint="eastAsia"/>
        </w:rPr>
        <w:t>公证事项：现场监督</w:t>
      </w:r>
      <w:r>
        <w:rPr>
          <w:rFonts w:hint="eastAsia"/>
        </w:rPr>
        <w:t xml:space="preserve"> (</w:t>
      </w:r>
      <w:r>
        <w:rPr>
          <w:rFonts w:hint="eastAsia"/>
        </w:rPr>
        <w:t>基金份额持有人大会计票</w:t>
      </w:r>
      <w:r>
        <w:rPr>
          <w:rFonts w:hint="eastAsia"/>
        </w:rPr>
        <w:t>)</w:t>
      </w:r>
    </w:p>
    <w:p w:rsidR="00847E0E" w:rsidRDefault="00D57D61">
      <w:pPr>
        <w:ind w:firstLine="480"/>
        <w:jc w:val="left"/>
      </w:pPr>
      <w:r>
        <w:rPr>
          <w:rFonts w:hint="eastAsia"/>
        </w:rPr>
        <w:t>富国基金管理有限公司于</w:t>
      </w:r>
      <w:r>
        <w:rPr>
          <w:rFonts w:hint="eastAsia"/>
        </w:rPr>
        <w:t>2025</w:t>
      </w:r>
      <w:r>
        <w:rPr>
          <w:rFonts w:hint="eastAsia"/>
        </w:rPr>
        <w:t>年</w:t>
      </w:r>
      <w:r>
        <w:rPr>
          <w:rFonts w:hint="eastAsia"/>
        </w:rPr>
        <w:t>12</w:t>
      </w:r>
      <w:r>
        <w:rPr>
          <w:rFonts w:hint="eastAsia"/>
        </w:rPr>
        <w:t>月</w:t>
      </w:r>
      <w:r>
        <w:rPr>
          <w:rFonts w:hint="eastAsia"/>
        </w:rPr>
        <w:t>9</w:t>
      </w:r>
      <w:r>
        <w:rPr>
          <w:rFonts w:hint="eastAsia"/>
        </w:rPr>
        <w:t>日向本公证处申请，对该公司召开富国中证新华社民族品牌工程交易型开放式指数证券投资基金联接基金基金份额持有人大会（通讯会议方式）表决计票过程进行现场监督公证。</w:t>
      </w:r>
      <w:r>
        <w:rPr>
          <w:rFonts w:hint="eastAsia"/>
        </w:rPr>
        <w:t xml:space="preserve">  </w:t>
      </w:r>
    </w:p>
    <w:p w:rsidR="00847E0E" w:rsidRDefault="00D57D61">
      <w:pPr>
        <w:ind w:firstLine="480"/>
        <w:jc w:val="left"/>
      </w:pPr>
      <w:r>
        <w:rPr>
          <w:rFonts w:hint="eastAsia"/>
        </w:rPr>
        <w:t>申请人根据《中华人民共和国证券投资基金法》《公开募集证券投资基金运作管理办法》的有关规定和《富国中证新华社民族品牌工程交易型开放式指数证券投资基金联接基金基金合同》的有关约定召开本次基金份额持有人大会。申请人依法于</w:t>
      </w:r>
      <w:r>
        <w:rPr>
          <w:rFonts w:hint="eastAsia"/>
        </w:rPr>
        <w:t>2025</w:t>
      </w:r>
      <w:r>
        <w:rPr>
          <w:rFonts w:hint="eastAsia"/>
        </w:rPr>
        <w:t>年</w:t>
      </w:r>
      <w:r>
        <w:rPr>
          <w:rFonts w:hint="eastAsia"/>
        </w:rPr>
        <w:t>11</w:t>
      </w:r>
      <w:r>
        <w:rPr>
          <w:rFonts w:hint="eastAsia"/>
        </w:rPr>
        <w:t>月</w:t>
      </w:r>
      <w:r>
        <w:rPr>
          <w:rFonts w:hint="eastAsia"/>
        </w:rPr>
        <w:t>26</w:t>
      </w:r>
      <w:r>
        <w:rPr>
          <w:rFonts w:hint="eastAsia"/>
        </w:rPr>
        <w:t>日在有关报刊上刊登了以通讯方式召开本次基金份额持有人大会的公告；于</w:t>
      </w:r>
      <w:r>
        <w:rPr>
          <w:rFonts w:hint="eastAsia"/>
        </w:rPr>
        <w:t>2025</w:t>
      </w:r>
      <w:r>
        <w:rPr>
          <w:rFonts w:hint="eastAsia"/>
        </w:rPr>
        <w:t>年</w:t>
      </w:r>
      <w:r>
        <w:rPr>
          <w:rFonts w:hint="eastAsia"/>
        </w:rPr>
        <w:t>11</w:t>
      </w:r>
      <w:r>
        <w:rPr>
          <w:rFonts w:hint="eastAsia"/>
        </w:rPr>
        <w:t>月</w:t>
      </w:r>
      <w:r>
        <w:rPr>
          <w:rFonts w:hint="eastAsia"/>
        </w:rPr>
        <w:t>27</w:t>
      </w:r>
      <w:r>
        <w:rPr>
          <w:rFonts w:hint="eastAsia"/>
        </w:rPr>
        <w:t>日、</w:t>
      </w:r>
      <w:r>
        <w:rPr>
          <w:rFonts w:hint="eastAsia"/>
        </w:rPr>
        <w:t>11</w:t>
      </w:r>
      <w:r>
        <w:rPr>
          <w:rFonts w:hint="eastAsia"/>
        </w:rPr>
        <w:t>月</w:t>
      </w:r>
      <w:r>
        <w:rPr>
          <w:rFonts w:hint="eastAsia"/>
        </w:rPr>
        <w:t>28</w:t>
      </w:r>
      <w:r>
        <w:rPr>
          <w:rFonts w:hint="eastAsia"/>
        </w:rPr>
        <w:t>日在有关报刊上分别刊登了召开本次基金份额持有人大会的第</w:t>
      </w:r>
      <w:r>
        <w:rPr>
          <w:rFonts w:hint="eastAsia"/>
        </w:rPr>
        <w:t>1</w:t>
      </w:r>
      <w:r>
        <w:rPr>
          <w:rFonts w:hint="eastAsia"/>
        </w:rPr>
        <w:t>次提示性公告和第</w:t>
      </w:r>
      <w:r>
        <w:rPr>
          <w:rFonts w:hint="eastAsia"/>
        </w:rPr>
        <w:t>2</w:t>
      </w:r>
      <w:r>
        <w:rPr>
          <w:rFonts w:hint="eastAsia"/>
        </w:rPr>
        <w:t>次提示性公告，大会审议的事项为《关于持续运作富国中证新华社民族品牌工程交易型开放式指数证券投资基金联接基金的议案》。申请人向本处提交了该公司的营业执照、富国中证新华社民族品牌工程交易型开放式指数证券投资基金联接基金基金合同、召开基金份额持有人大会相关系列公告、富国中证新华社民族品牌工程交易型开放式指数证券投资基金联接基金截至</w:t>
      </w:r>
      <w:r>
        <w:rPr>
          <w:rFonts w:hint="eastAsia"/>
        </w:rPr>
        <w:t>2025</w:t>
      </w:r>
      <w:r>
        <w:rPr>
          <w:rFonts w:hint="eastAsia"/>
        </w:rPr>
        <w:t>年</w:t>
      </w:r>
      <w:r>
        <w:rPr>
          <w:rFonts w:hint="eastAsia"/>
        </w:rPr>
        <w:t>11</w:t>
      </w:r>
      <w:r>
        <w:rPr>
          <w:rFonts w:hint="eastAsia"/>
        </w:rPr>
        <w:t>月</w:t>
      </w:r>
      <w:r>
        <w:rPr>
          <w:rFonts w:hint="eastAsia"/>
        </w:rPr>
        <w:t>26</w:t>
      </w:r>
      <w:r>
        <w:rPr>
          <w:rFonts w:hint="eastAsia"/>
        </w:rPr>
        <w:t>日权益登记日登记在册的富国中证新华社民族品牌工程交易型开放式指数证券</w:t>
      </w:r>
      <w:r>
        <w:rPr>
          <w:rFonts w:hint="eastAsia"/>
        </w:rPr>
        <w:t>投资基金联接基金基金份额持有人名册等文件，申请人具有召开本次基金份额持有人大会的合法资格。</w:t>
      </w:r>
    </w:p>
    <w:p w:rsidR="00847E0E" w:rsidRDefault="00D57D61">
      <w:pPr>
        <w:ind w:firstLine="480"/>
        <w:jc w:val="left"/>
      </w:pPr>
      <w:r>
        <w:rPr>
          <w:rFonts w:hint="eastAsia"/>
        </w:rPr>
        <w:t>根据《中华人民共和国公证法》的规定，本处公证员傅匀和本处工作人员徐茂森于</w:t>
      </w:r>
      <w:r>
        <w:rPr>
          <w:rFonts w:hint="eastAsia"/>
        </w:rPr>
        <w:t>2025</w:t>
      </w:r>
      <w:r>
        <w:rPr>
          <w:rFonts w:hint="eastAsia"/>
        </w:rPr>
        <w:t>年</w:t>
      </w:r>
      <w:r>
        <w:rPr>
          <w:rFonts w:hint="eastAsia"/>
        </w:rPr>
        <w:t>12</w:t>
      </w:r>
      <w:r>
        <w:rPr>
          <w:rFonts w:hint="eastAsia"/>
        </w:rPr>
        <w:t>月</w:t>
      </w:r>
      <w:r>
        <w:rPr>
          <w:rFonts w:hint="eastAsia"/>
        </w:rPr>
        <w:t>29</w:t>
      </w:r>
      <w:r>
        <w:rPr>
          <w:rFonts w:hint="eastAsia"/>
        </w:rPr>
        <w:t>日上午</w:t>
      </w:r>
      <w:r>
        <w:rPr>
          <w:rFonts w:hint="eastAsia"/>
        </w:rPr>
        <w:t>9</w:t>
      </w:r>
      <w:r>
        <w:rPr>
          <w:rFonts w:hint="eastAsia"/>
        </w:rPr>
        <w:t>时</w:t>
      </w:r>
      <w:r>
        <w:rPr>
          <w:rFonts w:hint="eastAsia"/>
        </w:rPr>
        <w:t>30</w:t>
      </w:r>
      <w:r>
        <w:rPr>
          <w:rFonts w:hint="eastAsia"/>
        </w:rPr>
        <w:t>分在中国（上海）自由贸易试验区世纪大道</w:t>
      </w:r>
      <w:r>
        <w:rPr>
          <w:rFonts w:hint="eastAsia"/>
        </w:rPr>
        <w:t>1196</w:t>
      </w:r>
      <w:r>
        <w:rPr>
          <w:rFonts w:hint="eastAsia"/>
        </w:rPr>
        <w:t>号世纪汇办公楼</w:t>
      </w:r>
      <w:r>
        <w:rPr>
          <w:rFonts w:hint="eastAsia"/>
        </w:rPr>
        <w:t>2</w:t>
      </w:r>
      <w:r>
        <w:rPr>
          <w:rFonts w:hint="eastAsia"/>
        </w:rPr>
        <w:t>座</w:t>
      </w:r>
      <w:r>
        <w:rPr>
          <w:rFonts w:hint="eastAsia"/>
        </w:rPr>
        <w:t>28</w:t>
      </w:r>
      <w:r>
        <w:rPr>
          <w:rFonts w:hint="eastAsia"/>
        </w:rPr>
        <w:t>层，申请人富国基金管理有限公司的办公场所对富国中证新华社民族品牌工程交易型开放式指数证券投资基金联接基金基金份额持有人大会（通讯方式）的计票过程进行现场监督公证。</w:t>
      </w:r>
    </w:p>
    <w:p w:rsidR="00847E0E" w:rsidRDefault="00D57D61">
      <w:pPr>
        <w:ind w:firstLine="480"/>
        <w:jc w:val="left"/>
      </w:pPr>
      <w:r>
        <w:rPr>
          <w:rFonts w:hint="eastAsia"/>
        </w:rPr>
        <w:t>富国中证新华社民族品牌工程交易型开放式指数证券投资基金联接基金基金份额持有人大会对</w:t>
      </w:r>
      <w:r>
        <w:rPr>
          <w:rFonts w:hint="eastAsia"/>
        </w:rPr>
        <w:t>议案以通讯的书面方式进行的表决在该基金托管人中国银行股份有限公司委派的授权代表刘宇的监督下，由富国基金管理有限公司委派的计票人员陈文敏、石苓邑进行计票。截至</w:t>
      </w:r>
      <w:r>
        <w:rPr>
          <w:rFonts w:hint="eastAsia"/>
        </w:rPr>
        <w:t>2025</w:t>
      </w:r>
      <w:r>
        <w:rPr>
          <w:rFonts w:hint="eastAsia"/>
        </w:rPr>
        <w:t>年</w:t>
      </w:r>
      <w:r>
        <w:rPr>
          <w:rFonts w:hint="eastAsia"/>
        </w:rPr>
        <w:t>12</w:t>
      </w:r>
      <w:r>
        <w:rPr>
          <w:rFonts w:hint="eastAsia"/>
        </w:rPr>
        <w:t>月</w:t>
      </w:r>
      <w:r>
        <w:rPr>
          <w:rFonts w:hint="eastAsia"/>
        </w:rPr>
        <w:t>26</w:t>
      </w:r>
      <w:r>
        <w:rPr>
          <w:rFonts w:hint="eastAsia"/>
        </w:rPr>
        <w:t>日</w:t>
      </w:r>
      <w:r>
        <w:rPr>
          <w:rFonts w:hint="eastAsia"/>
        </w:rPr>
        <w:t>17</w:t>
      </w:r>
      <w:r>
        <w:rPr>
          <w:rFonts w:hint="eastAsia"/>
        </w:rPr>
        <w:t>时，收到参加本次大会（通讯方式）的富国中证新华社民族品牌工程交易型开放式指数证券投资基金联接基金基金份额持有人有效表决所持基金份额共</w:t>
      </w:r>
      <w:r>
        <w:rPr>
          <w:rFonts w:hint="eastAsia"/>
        </w:rPr>
        <w:t>11,327,067.43</w:t>
      </w:r>
      <w:r>
        <w:rPr>
          <w:rFonts w:hint="eastAsia"/>
        </w:rPr>
        <w:t>份，占</w:t>
      </w:r>
      <w:r>
        <w:rPr>
          <w:rFonts w:hint="eastAsia"/>
        </w:rPr>
        <w:t>2025</w:t>
      </w:r>
      <w:r>
        <w:rPr>
          <w:rFonts w:hint="eastAsia"/>
        </w:rPr>
        <w:t>年</w:t>
      </w:r>
      <w:r>
        <w:rPr>
          <w:rFonts w:hint="eastAsia"/>
        </w:rPr>
        <w:t>11</w:t>
      </w:r>
      <w:r>
        <w:rPr>
          <w:rFonts w:hint="eastAsia"/>
        </w:rPr>
        <w:t>月</w:t>
      </w:r>
      <w:r>
        <w:rPr>
          <w:rFonts w:hint="eastAsia"/>
        </w:rPr>
        <w:t>26</w:t>
      </w:r>
      <w:r>
        <w:rPr>
          <w:rFonts w:hint="eastAsia"/>
        </w:rPr>
        <w:t>日权益登记日富国中证新华社民族品牌工程交易型开放式指数证券投资基金联接基金基金总份额</w:t>
      </w:r>
      <w:r>
        <w:rPr>
          <w:rFonts w:hint="eastAsia"/>
        </w:rPr>
        <w:t>19,391,072.75</w:t>
      </w:r>
      <w:r>
        <w:rPr>
          <w:rFonts w:hint="eastAsia"/>
        </w:rPr>
        <w:t>份的</w:t>
      </w:r>
      <w:r>
        <w:rPr>
          <w:rFonts w:hint="eastAsia"/>
        </w:rPr>
        <w:t>58.41%,</w:t>
      </w:r>
      <w:r>
        <w:rPr>
          <w:rFonts w:hint="eastAsia"/>
        </w:rPr>
        <w:t>达到法定开会条件，</w:t>
      </w:r>
      <w:r>
        <w:rPr>
          <w:rFonts w:hint="eastAsia"/>
        </w:rPr>
        <w:t>符合《中华人民共和国证券投资基金法》《公开募集证券投资基金运作管理办法》、《富国中证新华社民族品牌工程交易型开放式指数证券投资基金联接基金基金合同》的有关规定。大会对《关于持续运作富国中证新华社民族品牌工程交易型开放式指数证券投资基金联接基金的议案》的表决结果如下：</w:t>
      </w:r>
      <w:r>
        <w:rPr>
          <w:rFonts w:hint="eastAsia"/>
        </w:rPr>
        <w:t>11,327,067.43</w:t>
      </w:r>
      <w:r>
        <w:rPr>
          <w:rFonts w:hint="eastAsia"/>
        </w:rPr>
        <w:t>份基金份额表示同意，</w:t>
      </w:r>
      <w:r>
        <w:rPr>
          <w:rFonts w:hint="eastAsia"/>
        </w:rPr>
        <w:t>0</w:t>
      </w:r>
      <w:r>
        <w:rPr>
          <w:rFonts w:hint="eastAsia"/>
        </w:rPr>
        <w:t>份基金份额表示反对，</w:t>
      </w:r>
      <w:r>
        <w:rPr>
          <w:rFonts w:hint="eastAsia"/>
        </w:rPr>
        <w:t>0</w:t>
      </w:r>
      <w:r>
        <w:rPr>
          <w:rFonts w:hint="eastAsia"/>
        </w:rPr>
        <w:t>份基金份额表示弃权</w:t>
      </w:r>
      <w:r>
        <w:rPr>
          <w:rFonts w:hint="eastAsia"/>
        </w:rPr>
        <w:t>,</w:t>
      </w:r>
      <w:r>
        <w:rPr>
          <w:rFonts w:hint="eastAsia"/>
        </w:rPr>
        <w:t>同意本次议案的基金份额占参加本次大会的持有人所持基金份额的</w:t>
      </w:r>
      <w:r>
        <w:rPr>
          <w:rFonts w:hint="eastAsia"/>
        </w:rPr>
        <w:t xml:space="preserve"> 100 </w:t>
      </w:r>
      <w:r>
        <w:rPr>
          <w:rFonts w:hint="eastAsia"/>
        </w:rPr>
        <w:t>％。</w:t>
      </w:r>
    </w:p>
    <w:p w:rsidR="00847E0E" w:rsidRDefault="00D57D61">
      <w:pPr>
        <w:ind w:firstLine="480"/>
        <w:jc w:val="left"/>
      </w:pPr>
      <w:r>
        <w:rPr>
          <w:rFonts w:hint="eastAsia"/>
        </w:rPr>
        <w:t>上述议案的表决达到法定条件，符合《中华人民共和国证券投资基金法》《公开募集证券投资</w:t>
      </w:r>
      <w:r>
        <w:rPr>
          <w:rFonts w:hint="eastAsia"/>
        </w:rPr>
        <w:t>基金运作管理办法》《富国中证新华社民族品牌工程交易型开放式指数证券投资基金联接基金基金合同》的有关规定，本次会议表决的上述议案获得通过。</w:t>
      </w:r>
    </w:p>
    <w:p w:rsidR="00847E0E" w:rsidRDefault="00D57D61">
      <w:pPr>
        <w:ind w:firstLine="480"/>
      </w:pPr>
      <w:r>
        <w:rPr>
          <w:rFonts w:hint="eastAsia"/>
        </w:rPr>
        <w:t>经审查和现场监督，兹证明本次富国中证新华社民族品牌工程交易型开放式指数证券投资基金联接基金基金份额持有人大会（通讯方式）对《关于持续运作富国中证新华社民族品牌工程交易型开放式指数证券投资基金联接基金的议案》表决的计票过程符合有关法律规定和基金合同的约定，表决结果符合会议议案的通过条件。</w:t>
      </w:r>
    </w:p>
    <w:p w:rsidR="00847E0E" w:rsidRDefault="00D57D61">
      <w:pPr>
        <w:spacing w:line="560" w:lineRule="exact"/>
        <w:ind w:firstLine="480"/>
        <w:jc w:val="right"/>
        <w:rPr>
          <w:rFonts w:asciiTheme="minorEastAsia" w:eastAsiaTheme="minorEastAsia" w:hAnsiTheme="minorEastAsia"/>
          <w:color w:val="0000FF"/>
          <w:sz w:val="28"/>
          <w:szCs w:val="30"/>
        </w:rPr>
      </w:pPr>
      <w:bookmarkStart w:id="2" w:name="公证处名称__1"/>
      <w:r>
        <w:rPr>
          <w:rFonts w:hint="eastAsia"/>
        </w:rPr>
        <w:t>中华人民共和国上海市东方公证处</w:t>
      </w:r>
      <w:bookmarkEnd w:id="2"/>
    </w:p>
    <w:p w:rsidR="00847E0E" w:rsidRDefault="00D57D61">
      <w:pPr>
        <w:spacing w:line="560" w:lineRule="exact"/>
        <w:ind w:firstLine="640"/>
        <w:jc w:val="right"/>
        <w:rPr>
          <w:color w:val="000000"/>
        </w:rPr>
      </w:pPr>
      <w:r>
        <w:rPr>
          <w:rFonts w:ascii="仿宋_GB2312" w:eastAsia="仿宋_GB2312" w:hAnsi="仿宋_GB2312"/>
          <w:noProof/>
          <w:sz w:val="32"/>
        </w:rPr>
        <w:drawing>
          <wp:anchor distT="0" distB="0" distL="114300" distR="114300" simplePos="0" relativeHeight="251659264" behindDoc="1" locked="0" layoutInCell="0" allowOverlap="1">
            <wp:simplePos x="0" y="0"/>
            <wp:positionH relativeFrom="column">
              <wp:posOffset>3903980</wp:posOffset>
            </wp:positionH>
            <wp:positionV relativeFrom="paragraph">
              <wp:posOffset>118110</wp:posOffset>
            </wp:positionV>
            <wp:extent cx="1344295" cy="955675"/>
            <wp:effectExtent l="19050" t="0" r="6985" b="0"/>
            <wp:wrapNone/>
            <wp:docPr id="9576" name="Image 9576" descr="notary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 name="Image 9576" descr="notary_seal"/>
                    <pic:cNvPicPr>
                      <a:picLocks noChangeAspect="1"/>
                    </pic:cNvPicPr>
                  </pic:nvPicPr>
                  <pic:blipFill>
                    <a:blip r:embed="rId7" cstate="print">
                      <a:clrChange>
                        <a:clrFrom>
                          <a:srgbClr val="FFFFFF"/>
                        </a:clrFrom>
                        <a:clrTo>
                          <a:srgbClr val="FFFFFF">
                            <a:alpha val="0"/>
                          </a:srgbClr>
                        </a:clrTo>
                      </a:clrChange>
                    </a:blip>
                    <a:stretch>
                      <a:fillRect/>
                    </a:stretch>
                  </pic:blipFill>
                  <pic:spPr>
                    <a:xfrm>
                      <a:off x="0" y="0"/>
                      <a:ext cx="1344295" cy="955675"/>
                    </a:xfrm>
                    <a:prstGeom prst="rect">
                      <a:avLst/>
                    </a:prstGeom>
                  </pic:spPr>
                </pic:pic>
              </a:graphicData>
            </a:graphic>
          </wp:anchor>
        </w:drawing>
      </w:r>
    </w:p>
    <w:p w:rsidR="00847E0E" w:rsidRDefault="00D57D61">
      <w:pPr>
        <w:spacing w:line="560" w:lineRule="exact"/>
        <w:ind w:rightChars="1000" w:right="2400" w:firstLine="480"/>
        <w:jc w:val="right"/>
      </w:pPr>
      <w:r>
        <w:rPr>
          <w:rFonts w:hint="eastAsia"/>
        </w:rPr>
        <w:t>公</w:t>
      </w:r>
      <w:r>
        <w:t xml:space="preserve">  </w:t>
      </w:r>
      <w:r>
        <w:rPr>
          <w:rFonts w:hint="eastAsia"/>
        </w:rPr>
        <w:t>证</w:t>
      </w:r>
      <w:r>
        <w:t xml:space="preserve">  </w:t>
      </w:r>
      <w:r>
        <w:rPr>
          <w:rFonts w:hint="eastAsia"/>
        </w:rPr>
        <w:t>员</w:t>
      </w:r>
    </w:p>
    <w:p w:rsidR="00847E0E" w:rsidRDefault="00847E0E">
      <w:pPr>
        <w:spacing w:line="560" w:lineRule="exact"/>
        <w:ind w:firstLine="480"/>
        <w:rPr>
          <w:color w:val="000000"/>
        </w:rPr>
      </w:pPr>
    </w:p>
    <w:p w:rsidR="00847E0E" w:rsidRDefault="00D57D61">
      <w:pPr>
        <w:spacing w:line="560" w:lineRule="exact"/>
        <w:ind w:firstLineChars="0" w:firstLine="0"/>
        <w:rPr>
          <w:color w:val="000000"/>
        </w:rPr>
      </w:pPr>
      <w:r>
        <w:rPr>
          <w:rFonts w:ascii="仿宋_GB2312" w:eastAsia="仿宋_GB2312" w:hAnsi="仿宋_GB2312"/>
          <w:noProof/>
          <w:sz w:val="32"/>
        </w:rPr>
        <w:drawing>
          <wp:anchor distT="0" distB="0" distL="114300" distR="114300" simplePos="0" relativeHeight="251660288" behindDoc="1" locked="0" layoutInCell="0" allowOverlap="1">
            <wp:simplePos x="0" y="0"/>
            <wp:positionH relativeFrom="column">
              <wp:posOffset>3646170</wp:posOffset>
            </wp:positionH>
            <wp:positionV relativeFrom="paragraph">
              <wp:posOffset>8890</wp:posOffset>
            </wp:positionV>
            <wp:extent cx="1508760" cy="1508760"/>
            <wp:effectExtent l="19050" t="0" r="6985" b="0"/>
            <wp:wrapNone/>
            <wp:docPr id="1232" name="Image 1232" descr="official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Image 1232" descr="official_seal"/>
                    <pic:cNvPicPr>
                      <a:picLocks noChangeAspect="1"/>
                    </pic:cNvPicPr>
                  </pic:nvPicPr>
                  <pic:blipFill>
                    <a:blip r:embed="rId8" cstate="print">
                      <a:clrChange>
                        <a:clrFrom>
                          <a:srgbClr val="FFFFFF"/>
                        </a:clrFrom>
                        <a:clrTo>
                          <a:srgbClr val="FFFFFF">
                            <a:alpha val="0"/>
                          </a:srgbClr>
                        </a:clrTo>
                      </a:clrChange>
                    </a:blip>
                    <a:stretch>
                      <a:fillRect/>
                    </a:stretch>
                  </pic:blipFill>
                  <pic:spPr>
                    <a:xfrm>
                      <a:off x="0" y="0"/>
                      <a:ext cx="1508760" cy="1508760"/>
                    </a:xfrm>
                    <a:prstGeom prst="rect">
                      <a:avLst/>
                    </a:prstGeom>
                  </pic:spPr>
                </pic:pic>
              </a:graphicData>
            </a:graphic>
          </wp:anchor>
        </w:drawing>
      </w:r>
    </w:p>
    <w:p w:rsidR="00847E0E" w:rsidRDefault="00D57D61">
      <w:pPr>
        <w:spacing w:line="560" w:lineRule="exact"/>
        <w:ind w:right="640" w:firstLineChars="1200" w:firstLine="2880"/>
        <w:jc w:val="right"/>
        <w:rPr>
          <w:rFonts w:asciiTheme="minorEastAsia" w:eastAsiaTheme="minorEastAsia" w:hAnsiTheme="minorEastAsia"/>
          <w:color w:val="000000"/>
          <w:szCs w:val="30"/>
        </w:rPr>
      </w:pPr>
      <w:r>
        <w:rPr>
          <w:rFonts w:asciiTheme="minorEastAsia" w:eastAsiaTheme="minorEastAsia" w:hAnsiTheme="minorEastAsia" w:hint="eastAsia"/>
          <w:color w:val="000000"/>
          <w:szCs w:val="30"/>
        </w:rPr>
        <w:t>2025</w:t>
      </w:r>
      <w:r>
        <w:rPr>
          <w:rFonts w:asciiTheme="minorEastAsia" w:eastAsiaTheme="minorEastAsia" w:hAnsiTheme="minorEastAsia" w:hint="eastAsia"/>
          <w:color w:val="000000"/>
          <w:szCs w:val="30"/>
        </w:rPr>
        <w:t>年</w:t>
      </w:r>
      <w:r>
        <w:rPr>
          <w:rFonts w:asciiTheme="minorEastAsia" w:eastAsiaTheme="minorEastAsia" w:hAnsiTheme="minorEastAsia" w:hint="eastAsia"/>
          <w:color w:val="000000"/>
          <w:szCs w:val="30"/>
        </w:rPr>
        <w:t>12</w:t>
      </w:r>
      <w:r>
        <w:rPr>
          <w:rFonts w:asciiTheme="minorEastAsia" w:eastAsiaTheme="minorEastAsia" w:hAnsiTheme="minorEastAsia" w:hint="eastAsia"/>
          <w:color w:val="000000"/>
          <w:szCs w:val="30"/>
        </w:rPr>
        <w:t>月</w:t>
      </w:r>
      <w:r>
        <w:rPr>
          <w:rFonts w:asciiTheme="minorEastAsia" w:eastAsiaTheme="minorEastAsia" w:hAnsiTheme="minorEastAsia" w:hint="eastAsia"/>
          <w:color w:val="000000"/>
          <w:szCs w:val="30"/>
        </w:rPr>
        <w:t>29</w:t>
      </w:r>
      <w:r>
        <w:rPr>
          <w:rFonts w:asciiTheme="minorEastAsia" w:eastAsiaTheme="minorEastAsia" w:hAnsiTheme="minorEastAsia" w:hint="eastAsia"/>
          <w:color w:val="000000"/>
          <w:szCs w:val="30"/>
        </w:rPr>
        <w:t>日</w:t>
      </w:r>
    </w:p>
    <w:sectPr w:rsidR="00847E0E" w:rsidSect="00847E0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E0E" w:rsidRDefault="00D57D61">
      <w:pPr>
        <w:spacing w:line="240" w:lineRule="auto"/>
        <w:ind w:firstLine="480"/>
      </w:pPr>
      <w:r>
        <w:separator/>
      </w:r>
    </w:p>
  </w:endnote>
  <w:endnote w:type="continuationSeparator" w:id="0">
    <w:p w:rsidR="00847E0E" w:rsidRDefault="00D57D6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E" w:rsidRDefault="00847E0E">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E" w:rsidRDefault="00847E0E">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E" w:rsidRDefault="00847E0E">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E0E" w:rsidRDefault="00D57D61">
      <w:pPr>
        <w:ind w:firstLine="480"/>
      </w:pPr>
      <w:r>
        <w:separator/>
      </w:r>
    </w:p>
  </w:footnote>
  <w:footnote w:type="continuationSeparator" w:id="0">
    <w:p w:rsidR="00847E0E" w:rsidRDefault="00D57D61">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E" w:rsidRDefault="00847E0E">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E" w:rsidRDefault="00847E0E">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0E" w:rsidRDefault="00847E0E">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1A59"/>
    <w:rsid w:val="00023FD3"/>
    <w:rsid w:val="00050A2E"/>
    <w:rsid w:val="0008234E"/>
    <w:rsid w:val="00094511"/>
    <w:rsid w:val="00094E5C"/>
    <w:rsid w:val="00095497"/>
    <w:rsid w:val="00096B31"/>
    <w:rsid w:val="000B5EA6"/>
    <w:rsid w:val="000C2F30"/>
    <w:rsid w:val="000F4AD4"/>
    <w:rsid w:val="00104A4E"/>
    <w:rsid w:val="001122B5"/>
    <w:rsid w:val="00124360"/>
    <w:rsid w:val="00124C5C"/>
    <w:rsid w:val="00133898"/>
    <w:rsid w:val="00145A0A"/>
    <w:rsid w:val="00171FC0"/>
    <w:rsid w:val="00175315"/>
    <w:rsid w:val="001A7019"/>
    <w:rsid w:val="002034D1"/>
    <w:rsid w:val="002051CA"/>
    <w:rsid w:val="00206990"/>
    <w:rsid w:val="00211108"/>
    <w:rsid w:val="0022520A"/>
    <w:rsid w:val="00234888"/>
    <w:rsid w:val="00244C6F"/>
    <w:rsid w:val="00244F0E"/>
    <w:rsid w:val="00245D2C"/>
    <w:rsid w:val="002610F9"/>
    <w:rsid w:val="00280E1B"/>
    <w:rsid w:val="002901CF"/>
    <w:rsid w:val="002A69FB"/>
    <w:rsid w:val="002C01DA"/>
    <w:rsid w:val="002C0264"/>
    <w:rsid w:val="002F6550"/>
    <w:rsid w:val="00330AA4"/>
    <w:rsid w:val="00330E4B"/>
    <w:rsid w:val="00341453"/>
    <w:rsid w:val="00351E21"/>
    <w:rsid w:val="00353811"/>
    <w:rsid w:val="00371369"/>
    <w:rsid w:val="003B5F9A"/>
    <w:rsid w:val="003F102D"/>
    <w:rsid w:val="004077C6"/>
    <w:rsid w:val="0041072E"/>
    <w:rsid w:val="004135CB"/>
    <w:rsid w:val="00415635"/>
    <w:rsid w:val="00425297"/>
    <w:rsid w:val="004311C4"/>
    <w:rsid w:val="00437082"/>
    <w:rsid w:val="00442ACA"/>
    <w:rsid w:val="00447541"/>
    <w:rsid w:val="00453CFC"/>
    <w:rsid w:val="00462629"/>
    <w:rsid w:val="0047158C"/>
    <w:rsid w:val="0048426C"/>
    <w:rsid w:val="00485D67"/>
    <w:rsid w:val="004A34F9"/>
    <w:rsid w:val="00517606"/>
    <w:rsid w:val="00541D49"/>
    <w:rsid w:val="005448DC"/>
    <w:rsid w:val="00567A46"/>
    <w:rsid w:val="005757E5"/>
    <w:rsid w:val="00582D5B"/>
    <w:rsid w:val="0059589E"/>
    <w:rsid w:val="005C65ED"/>
    <w:rsid w:val="005E0255"/>
    <w:rsid w:val="005E116A"/>
    <w:rsid w:val="005F2610"/>
    <w:rsid w:val="005F72BC"/>
    <w:rsid w:val="005F7F21"/>
    <w:rsid w:val="0062090D"/>
    <w:rsid w:val="006212E7"/>
    <w:rsid w:val="00631540"/>
    <w:rsid w:val="00637D9F"/>
    <w:rsid w:val="006445BB"/>
    <w:rsid w:val="00654524"/>
    <w:rsid w:val="006600C5"/>
    <w:rsid w:val="00676B65"/>
    <w:rsid w:val="00682B69"/>
    <w:rsid w:val="00697A74"/>
    <w:rsid w:val="006D2468"/>
    <w:rsid w:val="006E4DFD"/>
    <w:rsid w:val="007007F6"/>
    <w:rsid w:val="00760B45"/>
    <w:rsid w:val="007713E1"/>
    <w:rsid w:val="007724F4"/>
    <w:rsid w:val="00772507"/>
    <w:rsid w:val="007817A2"/>
    <w:rsid w:val="007B42FB"/>
    <w:rsid w:val="007B4884"/>
    <w:rsid w:val="007F108C"/>
    <w:rsid w:val="00810EB2"/>
    <w:rsid w:val="00817784"/>
    <w:rsid w:val="00835992"/>
    <w:rsid w:val="00847E0E"/>
    <w:rsid w:val="00850C6C"/>
    <w:rsid w:val="0085111B"/>
    <w:rsid w:val="008523FF"/>
    <w:rsid w:val="00875088"/>
    <w:rsid w:val="008A7806"/>
    <w:rsid w:val="008E343E"/>
    <w:rsid w:val="008F0D35"/>
    <w:rsid w:val="008F1208"/>
    <w:rsid w:val="00905605"/>
    <w:rsid w:val="00920E56"/>
    <w:rsid w:val="00927C39"/>
    <w:rsid w:val="00932D77"/>
    <w:rsid w:val="009352A8"/>
    <w:rsid w:val="009435DD"/>
    <w:rsid w:val="00994640"/>
    <w:rsid w:val="00A21FB4"/>
    <w:rsid w:val="00A459BE"/>
    <w:rsid w:val="00A8319D"/>
    <w:rsid w:val="00A94999"/>
    <w:rsid w:val="00AA7262"/>
    <w:rsid w:val="00AC013F"/>
    <w:rsid w:val="00AC582F"/>
    <w:rsid w:val="00AD1CBC"/>
    <w:rsid w:val="00B00C90"/>
    <w:rsid w:val="00B16A21"/>
    <w:rsid w:val="00B362E2"/>
    <w:rsid w:val="00B56D89"/>
    <w:rsid w:val="00B62763"/>
    <w:rsid w:val="00B67740"/>
    <w:rsid w:val="00B73B87"/>
    <w:rsid w:val="00B75BEA"/>
    <w:rsid w:val="00B75EC2"/>
    <w:rsid w:val="00B829D0"/>
    <w:rsid w:val="00B85E28"/>
    <w:rsid w:val="00B925EA"/>
    <w:rsid w:val="00BA7785"/>
    <w:rsid w:val="00BB6C35"/>
    <w:rsid w:val="00BC17A5"/>
    <w:rsid w:val="00C036DD"/>
    <w:rsid w:val="00C059D7"/>
    <w:rsid w:val="00C201BE"/>
    <w:rsid w:val="00C21379"/>
    <w:rsid w:val="00C41581"/>
    <w:rsid w:val="00C44D5E"/>
    <w:rsid w:val="00C8654B"/>
    <w:rsid w:val="00C94423"/>
    <w:rsid w:val="00C9467D"/>
    <w:rsid w:val="00C9726E"/>
    <w:rsid w:val="00C97A13"/>
    <w:rsid w:val="00CA1246"/>
    <w:rsid w:val="00CC2797"/>
    <w:rsid w:val="00CE6BB0"/>
    <w:rsid w:val="00D15CD7"/>
    <w:rsid w:val="00D52508"/>
    <w:rsid w:val="00D57D61"/>
    <w:rsid w:val="00D91C49"/>
    <w:rsid w:val="00DA6153"/>
    <w:rsid w:val="00DB3696"/>
    <w:rsid w:val="00DC4E58"/>
    <w:rsid w:val="00DD26E0"/>
    <w:rsid w:val="00DE1A59"/>
    <w:rsid w:val="00DE62E4"/>
    <w:rsid w:val="00E12599"/>
    <w:rsid w:val="00E512BA"/>
    <w:rsid w:val="00E540B3"/>
    <w:rsid w:val="00ED2ADD"/>
    <w:rsid w:val="00EF0BCD"/>
    <w:rsid w:val="00F026CC"/>
    <w:rsid w:val="00F13B21"/>
    <w:rsid w:val="00F1464C"/>
    <w:rsid w:val="00F26AEE"/>
    <w:rsid w:val="00F44D2E"/>
    <w:rsid w:val="00F45CAB"/>
    <w:rsid w:val="00F66F8E"/>
    <w:rsid w:val="00F77E7B"/>
    <w:rsid w:val="00F83E82"/>
    <w:rsid w:val="00FA22EC"/>
    <w:rsid w:val="00FC212B"/>
    <w:rsid w:val="00FF2A4E"/>
    <w:rsid w:val="00FF5E32"/>
    <w:rsid w:val="01DC1EB4"/>
    <w:rsid w:val="260311B4"/>
    <w:rsid w:val="2AA777C5"/>
    <w:rsid w:val="39976AAA"/>
    <w:rsid w:val="4CC41792"/>
    <w:rsid w:val="55B37DED"/>
    <w:rsid w:val="55F85ADD"/>
    <w:rsid w:val="56C3150D"/>
    <w:rsid w:val="5AFC6277"/>
    <w:rsid w:val="5FC846D4"/>
    <w:rsid w:val="6D031C60"/>
    <w:rsid w:val="6D6D3796"/>
    <w:rsid w:val="71122E40"/>
    <w:rsid w:val="752D0CC4"/>
    <w:rsid w:val="77174CFB"/>
    <w:rsid w:val="7F8E60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E0E"/>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rsid w:val="00847E0E"/>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847E0E"/>
    <w:pPr>
      <w:keepNext/>
      <w:keepLines/>
      <w:ind w:firstLineChars="0" w:firstLine="0"/>
      <w:outlineLvl w:val="1"/>
    </w:pPr>
    <w:rPr>
      <w:b/>
      <w:szCs w:val="20"/>
    </w:rPr>
  </w:style>
  <w:style w:type="paragraph" w:styleId="3">
    <w:name w:val="heading 3"/>
    <w:basedOn w:val="a"/>
    <w:next w:val="a"/>
    <w:link w:val="3Char"/>
    <w:qFormat/>
    <w:rsid w:val="00847E0E"/>
    <w:pPr>
      <w:keepNext/>
      <w:keepLines/>
      <w:ind w:firstLineChars="0" w:firstLine="0"/>
      <w:outlineLvl w:val="2"/>
    </w:pPr>
    <w:rPr>
      <w:b/>
      <w:bCs/>
      <w:szCs w:val="32"/>
    </w:rPr>
  </w:style>
  <w:style w:type="paragraph" w:styleId="4">
    <w:name w:val="heading 4"/>
    <w:basedOn w:val="a"/>
    <w:next w:val="a"/>
    <w:link w:val="4Char"/>
    <w:qFormat/>
    <w:rsid w:val="00847E0E"/>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847E0E"/>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847E0E"/>
    <w:pPr>
      <w:keepNext/>
      <w:keepLines/>
      <w:numPr>
        <w:ilvl w:val="5"/>
        <w:numId w:val="1"/>
      </w:numPr>
      <w:spacing w:before="240" w:after="64" w:line="320" w:lineRule="auto"/>
      <w:outlineLvl w:val="5"/>
    </w:pPr>
    <w:rPr>
      <w:rFonts w:ascii="Arial" w:eastAsia="黑体" w:hAnsi="Arial"/>
      <w:b/>
      <w:bCs/>
    </w:rPr>
  </w:style>
  <w:style w:type="paragraph" w:styleId="7">
    <w:name w:val="heading 7"/>
    <w:basedOn w:val="a"/>
    <w:next w:val="a"/>
    <w:link w:val="7Char"/>
    <w:qFormat/>
    <w:rsid w:val="00847E0E"/>
    <w:pPr>
      <w:keepNext/>
      <w:keepLines/>
      <w:numPr>
        <w:ilvl w:val="6"/>
        <w:numId w:val="1"/>
      </w:numPr>
      <w:spacing w:before="240" w:after="64" w:line="320" w:lineRule="auto"/>
      <w:outlineLvl w:val="6"/>
    </w:pPr>
    <w:rPr>
      <w:b/>
      <w:bCs/>
    </w:rPr>
  </w:style>
  <w:style w:type="paragraph" w:styleId="8">
    <w:name w:val="heading 8"/>
    <w:basedOn w:val="a"/>
    <w:next w:val="a"/>
    <w:link w:val="8Char"/>
    <w:qFormat/>
    <w:rsid w:val="00847E0E"/>
    <w:pPr>
      <w:keepNext/>
      <w:keepLines/>
      <w:numPr>
        <w:ilvl w:val="7"/>
        <w:numId w:val="1"/>
      </w:numPr>
      <w:spacing w:before="240" w:after="64" w:line="320" w:lineRule="auto"/>
      <w:outlineLvl w:val="7"/>
    </w:pPr>
    <w:rPr>
      <w:rFonts w:ascii="Arial" w:eastAsia="黑体" w:hAnsi="Arial"/>
    </w:rPr>
  </w:style>
  <w:style w:type="paragraph" w:styleId="9">
    <w:name w:val="heading 9"/>
    <w:basedOn w:val="a"/>
    <w:next w:val="a"/>
    <w:link w:val="9Char"/>
    <w:qFormat/>
    <w:rsid w:val="00847E0E"/>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47E0E"/>
    <w:pPr>
      <w:jc w:val="left"/>
    </w:pPr>
  </w:style>
  <w:style w:type="paragraph" w:styleId="a4">
    <w:name w:val="Body Text Indent"/>
    <w:basedOn w:val="a"/>
    <w:link w:val="Char0"/>
    <w:qFormat/>
    <w:rsid w:val="00847E0E"/>
    <w:pPr>
      <w:autoSpaceDE w:val="0"/>
      <w:autoSpaceDN w:val="0"/>
      <w:adjustRightInd w:val="0"/>
      <w:spacing w:after="120" w:line="440" w:lineRule="atLeast"/>
      <w:ind w:firstLine="539"/>
    </w:pPr>
    <w:rPr>
      <w:rFonts w:ascii="宋体" w:hint="eastAsia"/>
      <w:kern w:val="0"/>
      <w:szCs w:val="20"/>
    </w:rPr>
  </w:style>
  <w:style w:type="paragraph" w:styleId="a5">
    <w:name w:val="Date"/>
    <w:basedOn w:val="a"/>
    <w:next w:val="a"/>
    <w:link w:val="Char1"/>
    <w:uiPriority w:val="99"/>
    <w:semiHidden/>
    <w:unhideWhenUsed/>
    <w:qFormat/>
    <w:rsid w:val="00847E0E"/>
    <w:pPr>
      <w:ind w:leftChars="2500" w:left="100"/>
    </w:pPr>
  </w:style>
  <w:style w:type="paragraph" w:styleId="a6">
    <w:name w:val="Balloon Text"/>
    <w:basedOn w:val="a"/>
    <w:link w:val="Char2"/>
    <w:uiPriority w:val="99"/>
    <w:semiHidden/>
    <w:unhideWhenUsed/>
    <w:qFormat/>
    <w:rsid w:val="00847E0E"/>
    <w:pPr>
      <w:spacing w:line="240" w:lineRule="auto"/>
    </w:pPr>
    <w:rPr>
      <w:sz w:val="18"/>
      <w:szCs w:val="18"/>
    </w:rPr>
  </w:style>
  <w:style w:type="paragraph" w:styleId="a7">
    <w:name w:val="footer"/>
    <w:basedOn w:val="a"/>
    <w:link w:val="Char3"/>
    <w:uiPriority w:val="99"/>
    <w:semiHidden/>
    <w:unhideWhenUsed/>
    <w:qFormat/>
    <w:rsid w:val="00847E0E"/>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847E0E"/>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qFormat/>
    <w:rsid w:val="00847E0E"/>
    <w:rPr>
      <w:b/>
      <w:bCs/>
    </w:rPr>
  </w:style>
  <w:style w:type="table" w:styleId="aa">
    <w:name w:val="Table Grid"/>
    <w:basedOn w:val="a1"/>
    <w:uiPriority w:val="59"/>
    <w:qFormat/>
    <w:rsid w:val="0084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847E0E"/>
    <w:rPr>
      <w:color w:val="0000FF"/>
      <w:u w:val="single"/>
    </w:rPr>
  </w:style>
  <w:style w:type="character" w:styleId="ac">
    <w:name w:val="annotation reference"/>
    <w:basedOn w:val="a0"/>
    <w:uiPriority w:val="99"/>
    <w:semiHidden/>
    <w:unhideWhenUsed/>
    <w:qFormat/>
    <w:rsid w:val="00847E0E"/>
    <w:rPr>
      <w:sz w:val="21"/>
      <w:szCs w:val="21"/>
    </w:rPr>
  </w:style>
  <w:style w:type="character" w:customStyle="1" w:styleId="1Char">
    <w:name w:val="标题 1 Char"/>
    <w:basedOn w:val="a0"/>
    <w:link w:val="1"/>
    <w:qFormat/>
    <w:rsid w:val="00847E0E"/>
    <w:rPr>
      <w:rFonts w:ascii="Times New Roman" w:hAnsi="Times New Roman"/>
      <w:b/>
      <w:bCs/>
      <w:color w:val="000000"/>
      <w:kern w:val="44"/>
      <w:sz w:val="32"/>
      <w:szCs w:val="44"/>
    </w:rPr>
  </w:style>
  <w:style w:type="character" w:customStyle="1" w:styleId="2Char">
    <w:name w:val="标题 2 Char"/>
    <w:basedOn w:val="a0"/>
    <w:link w:val="2"/>
    <w:qFormat/>
    <w:rsid w:val="00847E0E"/>
    <w:rPr>
      <w:rFonts w:ascii="Times New Roman" w:hAnsi="Times New Roman"/>
      <w:b/>
      <w:kern w:val="2"/>
      <w:sz w:val="24"/>
    </w:rPr>
  </w:style>
  <w:style w:type="character" w:customStyle="1" w:styleId="3Char">
    <w:name w:val="标题 3 Char"/>
    <w:basedOn w:val="a0"/>
    <w:link w:val="3"/>
    <w:qFormat/>
    <w:rsid w:val="00847E0E"/>
    <w:rPr>
      <w:rFonts w:ascii="Times New Roman" w:hAnsi="Times New Roman"/>
      <w:b/>
      <w:bCs/>
      <w:kern w:val="2"/>
      <w:sz w:val="24"/>
      <w:szCs w:val="32"/>
    </w:rPr>
  </w:style>
  <w:style w:type="character" w:customStyle="1" w:styleId="4Char">
    <w:name w:val="标题 4 Char"/>
    <w:basedOn w:val="a0"/>
    <w:link w:val="4"/>
    <w:qFormat/>
    <w:rsid w:val="00847E0E"/>
    <w:rPr>
      <w:rFonts w:ascii="Arial" w:eastAsia="黑体" w:hAnsi="Arial" w:cs="Times New Roman"/>
      <w:b/>
      <w:bCs/>
      <w:sz w:val="28"/>
      <w:szCs w:val="28"/>
    </w:rPr>
  </w:style>
  <w:style w:type="character" w:customStyle="1" w:styleId="5Char">
    <w:name w:val="标题 5 Char"/>
    <w:basedOn w:val="a0"/>
    <w:link w:val="5"/>
    <w:qFormat/>
    <w:rsid w:val="00847E0E"/>
    <w:rPr>
      <w:rFonts w:ascii="Times New Roman" w:eastAsia="宋体" w:hAnsi="Times New Roman" w:cs="Times New Roman"/>
      <w:b/>
      <w:bCs/>
      <w:sz w:val="28"/>
      <w:szCs w:val="28"/>
    </w:rPr>
  </w:style>
  <w:style w:type="character" w:customStyle="1" w:styleId="6Char">
    <w:name w:val="标题 6 Char"/>
    <w:basedOn w:val="a0"/>
    <w:link w:val="6"/>
    <w:qFormat/>
    <w:rsid w:val="00847E0E"/>
    <w:rPr>
      <w:rFonts w:ascii="Arial" w:eastAsia="黑体" w:hAnsi="Arial" w:cs="Times New Roman"/>
      <w:b/>
      <w:bCs/>
      <w:sz w:val="24"/>
      <w:szCs w:val="24"/>
    </w:rPr>
  </w:style>
  <w:style w:type="character" w:customStyle="1" w:styleId="7Char">
    <w:name w:val="标题 7 Char"/>
    <w:basedOn w:val="a0"/>
    <w:link w:val="7"/>
    <w:qFormat/>
    <w:rsid w:val="00847E0E"/>
    <w:rPr>
      <w:rFonts w:ascii="Times New Roman" w:eastAsia="宋体" w:hAnsi="Times New Roman" w:cs="Times New Roman"/>
      <w:b/>
      <w:bCs/>
      <w:sz w:val="24"/>
      <w:szCs w:val="24"/>
    </w:rPr>
  </w:style>
  <w:style w:type="character" w:customStyle="1" w:styleId="8Char">
    <w:name w:val="标题 8 Char"/>
    <w:basedOn w:val="a0"/>
    <w:link w:val="8"/>
    <w:qFormat/>
    <w:rsid w:val="00847E0E"/>
    <w:rPr>
      <w:rFonts w:ascii="Arial" w:eastAsia="黑体" w:hAnsi="Arial" w:cs="Times New Roman"/>
      <w:sz w:val="24"/>
      <w:szCs w:val="24"/>
    </w:rPr>
  </w:style>
  <w:style w:type="character" w:customStyle="1" w:styleId="9Char">
    <w:name w:val="标题 9 Char"/>
    <w:basedOn w:val="a0"/>
    <w:link w:val="9"/>
    <w:qFormat/>
    <w:rsid w:val="00847E0E"/>
    <w:rPr>
      <w:rFonts w:ascii="Arial" w:eastAsia="黑体" w:hAnsi="Arial" w:cs="Times New Roman"/>
      <w:szCs w:val="21"/>
    </w:rPr>
  </w:style>
  <w:style w:type="character" w:customStyle="1" w:styleId="Char0">
    <w:name w:val="正文文本缩进 Char"/>
    <w:basedOn w:val="a0"/>
    <w:link w:val="a4"/>
    <w:qFormat/>
    <w:rsid w:val="00847E0E"/>
    <w:rPr>
      <w:rFonts w:ascii="宋体" w:eastAsia="宋体" w:hAnsi="Times New Roman" w:cs="Times New Roman"/>
      <w:kern w:val="0"/>
      <w:sz w:val="24"/>
      <w:szCs w:val="20"/>
    </w:rPr>
  </w:style>
  <w:style w:type="character" w:customStyle="1" w:styleId="Char4">
    <w:name w:val="页眉 Char"/>
    <w:basedOn w:val="a0"/>
    <w:link w:val="a8"/>
    <w:uiPriority w:val="99"/>
    <w:semiHidden/>
    <w:qFormat/>
    <w:rsid w:val="00847E0E"/>
    <w:rPr>
      <w:rFonts w:ascii="Times New Roman" w:eastAsia="宋体" w:hAnsi="Times New Roman" w:cs="Times New Roman"/>
      <w:sz w:val="18"/>
      <w:szCs w:val="18"/>
    </w:rPr>
  </w:style>
  <w:style w:type="character" w:customStyle="1" w:styleId="Char3">
    <w:name w:val="页脚 Char"/>
    <w:basedOn w:val="a0"/>
    <w:link w:val="a7"/>
    <w:uiPriority w:val="99"/>
    <w:semiHidden/>
    <w:qFormat/>
    <w:rsid w:val="00847E0E"/>
    <w:rPr>
      <w:rFonts w:ascii="Times New Roman" w:eastAsia="宋体" w:hAnsi="Times New Roman" w:cs="Times New Roman"/>
      <w:sz w:val="18"/>
      <w:szCs w:val="18"/>
    </w:rPr>
  </w:style>
  <w:style w:type="paragraph" w:customStyle="1" w:styleId="Default">
    <w:name w:val="Default"/>
    <w:qFormat/>
    <w:rsid w:val="00847E0E"/>
    <w:pPr>
      <w:widowControl w:val="0"/>
      <w:autoSpaceDE w:val="0"/>
      <w:autoSpaceDN w:val="0"/>
      <w:adjustRightInd w:val="0"/>
    </w:pPr>
    <w:rPr>
      <w:rFonts w:ascii="宋体" w:hAnsi="Times New Roman" w:cs="宋体"/>
      <w:color w:val="000000"/>
      <w:sz w:val="24"/>
      <w:szCs w:val="24"/>
    </w:rPr>
  </w:style>
  <w:style w:type="character" w:customStyle="1" w:styleId="Char2">
    <w:name w:val="批注框文本 Char"/>
    <w:basedOn w:val="a0"/>
    <w:link w:val="a6"/>
    <w:uiPriority w:val="99"/>
    <w:semiHidden/>
    <w:qFormat/>
    <w:rsid w:val="00847E0E"/>
    <w:rPr>
      <w:rFonts w:ascii="Times New Roman" w:hAnsi="Times New Roman"/>
      <w:kern w:val="2"/>
      <w:sz w:val="18"/>
      <w:szCs w:val="18"/>
    </w:rPr>
  </w:style>
  <w:style w:type="paragraph" w:customStyle="1" w:styleId="10">
    <w:name w:val="修订1"/>
    <w:hidden/>
    <w:uiPriority w:val="99"/>
    <w:semiHidden/>
    <w:qFormat/>
    <w:rsid w:val="00847E0E"/>
    <w:rPr>
      <w:rFonts w:ascii="Times New Roman" w:hAnsi="Times New Roman"/>
      <w:kern w:val="2"/>
      <w:sz w:val="24"/>
      <w:szCs w:val="24"/>
    </w:rPr>
  </w:style>
  <w:style w:type="character" w:customStyle="1" w:styleId="Char">
    <w:name w:val="批注文字 Char"/>
    <w:basedOn w:val="a0"/>
    <w:link w:val="a3"/>
    <w:uiPriority w:val="99"/>
    <w:semiHidden/>
    <w:qFormat/>
    <w:rsid w:val="00847E0E"/>
    <w:rPr>
      <w:rFonts w:ascii="Times New Roman" w:hAnsi="Times New Roman"/>
      <w:kern w:val="2"/>
      <w:sz w:val="24"/>
      <w:szCs w:val="24"/>
    </w:rPr>
  </w:style>
  <w:style w:type="character" w:customStyle="1" w:styleId="Char5">
    <w:name w:val="批注主题 Char"/>
    <w:basedOn w:val="Char"/>
    <w:link w:val="a9"/>
    <w:uiPriority w:val="99"/>
    <w:semiHidden/>
    <w:qFormat/>
    <w:rsid w:val="00847E0E"/>
    <w:rPr>
      <w:rFonts w:ascii="Times New Roman" w:hAnsi="Times New Roman"/>
      <w:b/>
      <w:bCs/>
      <w:kern w:val="2"/>
      <w:sz w:val="24"/>
      <w:szCs w:val="24"/>
    </w:rPr>
  </w:style>
  <w:style w:type="character" w:customStyle="1" w:styleId="Char1">
    <w:name w:val="日期 Char"/>
    <w:basedOn w:val="a0"/>
    <w:link w:val="a5"/>
    <w:uiPriority w:val="99"/>
    <w:semiHidden/>
    <w:qFormat/>
    <w:rsid w:val="00847E0E"/>
    <w:rPr>
      <w:rFonts w:ascii="Times New Roman" w:hAnsi="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ochen\Desktop\&#20844;&#21578;&#27169;&#26495;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公告模板2.dotx</Template>
  <TotalTime>0</TotalTime>
  <Pages>3</Pages>
  <Words>477</Words>
  <Characters>2723</Characters>
  <Application>Microsoft Office Word</Application>
  <DocSecurity>4</DocSecurity>
  <Lines>22</Lines>
  <Paragraphs>6</Paragraphs>
  <ScaleCrop>false</ScaleCrop>
  <Company>MS</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富国基金</dc:creator>
  <cp:lastModifiedBy>ZHONGM</cp:lastModifiedBy>
  <cp:revision>2</cp:revision>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1958855B808C45CE824A7A547F55BE94</vt:lpwstr>
  </property>
</Properties>
</file>