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AC" w:rsidRDefault="004115AC"/>
    <w:p w:rsidR="004115AC" w:rsidRDefault="003243BD">
      <w:pPr>
        <w:jc w:val="center"/>
        <w:rPr>
          <w:rFonts w:ascii="宋体" w:eastAsia="宋体" w:hAnsi="宋体"/>
          <w:b/>
          <w:sz w:val="30"/>
        </w:rPr>
      </w:pPr>
      <w:r>
        <w:rPr>
          <w:rFonts w:ascii="宋体" w:eastAsia="宋体" w:hAnsi="宋体" w:hint="eastAsia"/>
          <w:b/>
          <w:sz w:val="30"/>
        </w:rPr>
        <w:t>博时合鑫货币市场基金</w:t>
      </w:r>
      <w:r>
        <w:rPr>
          <w:rFonts w:ascii="宋体" w:eastAsia="宋体" w:hAnsi="宋体" w:hint="eastAsia"/>
          <w:b/>
          <w:sz w:val="30"/>
        </w:rPr>
        <w:t>调整</w:t>
      </w:r>
      <w:r>
        <w:rPr>
          <w:rFonts w:ascii="宋体" w:eastAsia="宋体" w:hAnsi="宋体" w:hint="eastAsia"/>
          <w:b/>
          <w:sz w:val="30"/>
        </w:rPr>
        <w:t>大额申购、转换转入、定期定额投资业务的公告</w:t>
      </w:r>
    </w:p>
    <w:p w:rsidR="004115AC" w:rsidRDefault="003243BD">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30</w:t>
      </w:r>
      <w:r>
        <w:rPr>
          <w:rFonts w:ascii="宋体" w:eastAsia="宋体" w:hAnsi="宋体"/>
          <w:b/>
          <w:sz w:val="24"/>
        </w:rPr>
        <w:t>日</w:t>
      </w:r>
    </w:p>
    <w:p w:rsidR="004115AC" w:rsidRDefault="004115AC">
      <w:pPr>
        <w:jc w:val="center"/>
        <w:rPr>
          <w:rFonts w:ascii="宋体" w:eastAsia="宋体" w:hAnsi="宋体"/>
          <w:b/>
          <w:sz w:val="24"/>
        </w:rPr>
      </w:pPr>
    </w:p>
    <w:p w:rsidR="004115AC" w:rsidRDefault="003243BD">
      <w:pPr>
        <w:pStyle w:val="3"/>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1704"/>
        <w:gridCol w:w="1704"/>
        <w:gridCol w:w="1704"/>
        <w:gridCol w:w="1705"/>
        <w:gridCol w:w="1705"/>
      </w:tblGrid>
      <w:tr w:rsidR="004115AC">
        <w:tc>
          <w:tcPr>
            <w:tcW w:w="3408" w:type="dxa"/>
            <w:gridSpan w:val="2"/>
            <w:vAlign w:val="center"/>
          </w:tcPr>
          <w:p w:rsidR="004115AC" w:rsidRDefault="003243BD">
            <w:pPr>
              <w:rPr>
                <w:rFonts w:ascii="宋体" w:eastAsia="宋体" w:hAnsi="宋体"/>
                <w:sz w:val="24"/>
              </w:rPr>
            </w:pPr>
            <w:r>
              <w:rPr>
                <w:rFonts w:ascii="宋体" w:eastAsia="宋体" w:hAnsi="宋体" w:hint="eastAsia"/>
                <w:sz w:val="24"/>
              </w:rPr>
              <w:t>基金名称</w:t>
            </w:r>
          </w:p>
        </w:tc>
        <w:tc>
          <w:tcPr>
            <w:tcW w:w="5114" w:type="dxa"/>
            <w:gridSpan w:val="3"/>
            <w:vAlign w:val="center"/>
          </w:tcPr>
          <w:p w:rsidR="004115AC" w:rsidRDefault="003243BD">
            <w:pPr>
              <w:rPr>
                <w:rFonts w:ascii="宋体" w:eastAsia="宋体" w:hAnsi="宋体"/>
                <w:sz w:val="24"/>
              </w:rPr>
            </w:pPr>
            <w:r>
              <w:rPr>
                <w:rFonts w:ascii="宋体" w:eastAsia="宋体" w:hAnsi="宋体" w:hint="eastAsia"/>
                <w:sz w:val="24"/>
              </w:rPr>
              <w:t>博时合鑫货币市场基金</w:t>
            </w:r>
          </w:p>
        </w:tc>
      </w:tr>
      <w:tr w:rsidR="004115AC">
        <w:tc>
          <w:tcPr>
            <w:tcW w:w="3408" w:type="dxa"/>
            <w:gridSpan w:val="2"/>
            <w:vAlign w:val="center"/>
          </w:tcPr>
          <w:p w:rsidR="004115AC" w:rsidRDefault="003243BD">
            <w:pPr>
              <w:rPr>
                <w:rFonts w:ascii="宋体" w:eastAsia="宋体" w:hAnsi="宋体"/>
                <w:sz w:val="24"/>
              </w:rPr>
            </w:pPr>
            <w:r>
              <w:rPr>
                <w:rFonts w:ascii="宋体" w:eastAsia="宋体" w:hAnsi="宋体" w:hint="eastAsia"/>
                <w:sz w:val="24"/>
              </w:rPr>
              <w:t>基金简称</w:t>
            </w:r>
          </w:p>
        </w:tc>
        <w:tc>
          <w:tcPr>
            <w:tcW w:w="5114" w:type="dxa"/>
            <w:gridSpan w:val="3"/>
            <w:vAlign w:val="center"/>
          </w:tcPr>
          <w:p w:rsidR="004115AC" w:rsidRDefault="003243BD">
            <w:pPr>
              <w:rPr>
                <w:rFonts w:ascii="宋体" w:eastAsia="宋体" w:hAnsi="宋体"/>
                <w:sz w:val="24"/>
              </w:rPr>
            </w:pPr>
            <w:r>
              <w:rPr>
                <w:rFonts w:ascii="宋体" w:eastAsia="宋体" w:hAnsi="宋体" w:hint="eastAsia"/>
                <w:sz w:val="24"/>
              </w:rPr>
              <w:t>博时合鑫货币</w:t>
            </w:r>
          </w:p>
        </w:tc>
      </w:tr>
      <w:tr w:rsidR="004115AC">
        <w:tc>
          <w:tcPr>
            <w:tcW w:w="3408" w:type="dxa"/>
            <w:gridSpan w:val="2"/>
            <w:vAlign w:val="center"/>
          </w:tcPr>
          <w:p w:rsidR="004115AC" w:rsidRDefault="003243BD">
            <w:pPr>
              <w:rPr>
                <w:rFonts w:ascii="宋体" w:eastAsia="宋体" w:hAnsi="宋体"/>
                <w:sz w:val="24"/>
              </w:rPr>
            </w:pPr>
            <w:r>
              <w:rPr>
                <w:rFonts w:ascii="宋体" w:eastAsia="宋体" w:hAnsi="宋体" w:hint="eastAsia"/>
                <w:sz w:val="24"/>
              </w:rPr>
              <w:t>基金主代码</w:t>
            </w:r>
          </w:p>
        </w:tc>
        <w:tc>
          <w:tcPr>
            <w:tcW w:w="5114" w:type="dxa"/>
            <w:gridSpan w:val="3"/>
            <w:vAlign w:val="center"/>
          </w:tcPr>
          <w:p w:rsidR="004115AC" w:rsidRDefault="003243BD">
            <w:pPr>
              <w:rPr>
                <w:rFonts w:ascii="宋体" w:eastAsia="宋体" w:hAnsi="宋体"/>
                <w:sz w:val="24"/>
              </w:rPr>
            </w:pPr>
            <w:r>
              <w:rPr>
                <w:rFonts w:ascii="宋体" w:eastAsia="宋体" w:hAnsi="宋体"/>
                <w:sz w:val="24"/>
              </w:rPr>
              <w:t>003206</w:t>
            </w:r>
          </w:p>
        </w:tc>
      </w:tr>
      <w:tr w:rsidR="004115AC">
        <w:tc>
          <w:tcPr>
            <w:tcW w:w="3408" w:type="dxa"/>
            <w:gridSpan w:val="2"/>
            <w:vAlign w:val="center"/>
          </w:tcPr>
          <w:p w:rsidR="004115AC" w:rsidRDefault="003243BD">
            <w:pPr>
              <w:rPr>
                <w:rFonts w:ascii="宋体" w:eastAsia="宋体" w:hAnsi="宋体"/>
                <w:sz w:val="24"/>
              </w:rPr>
            </w:pPr>
            <w:r>
              <w:rPr>
                <w:rFonts w:ascii="宋体" w:eastAsia="宋体" w:hAnsi="宋体" w:hint="eastAsia"/>
                <w:sz w:val="24"/>
              </w:rPr>
              <w:t>基金管理人名称</w:t>
            </w:r>
          </w:p>
        </w:tc>
        <w:tc>
          <w:tcPr>
            <w:tcW w:w="5114" w:type="dxa"/>
            <w:gridSpan w:val="3"/>
            <w:vAlign w:val="center"/>
          </w:tcPr>
          <w:p w:rsidR="004115AC" w:rsidRDefault="003243BD">
            <w:pPr>
              <w:rPr>
                <w:rFonts w:ascii="宋体" w:eastAsia="宋体" w:hAnsi="宋体"/>
                <w:sz w:val="24"/>
              </w:rPr>
            </w:pPr>
            <w:r>
              <w:rPr>
                <w:rFonts w:ascii="宋体" w:eastAsia="宋体" w:hAnsi="宋体" w:hint="eastAsia"/>
                <w:sz w:val="24"/>
              </w:rPr>
              <w:t>博时基金管理有限公司</w:t>
            </w:r>
          </w:p>
        </w:tc>
      </w:tr>
      <w:tr w:rsidR="004115AC">
        <w:tc>
          <w:tcPr>
            <w:tcW w:w="3408" w:type="dxa"/>
            <w:gridSpan w:val="2"/>
            <w:vAlign w:val="center"/>
          </w:tcPr>
          <w:p w:rsidR="004115AC" w:rsidRDefault="003243BD">
            <w:pPr>
              <w:rPr>
                <w:rFonts w:ascii="宋体" w:eastAsia="宋体" w:hAnsi="宋体"/>
                <w:sz w:val="24"/>
              </w:rPr>
            </w:pPr>
            <w:r>
              <w:rPr>
                <w:rFonts w:ascii="宋体" w:eastAsia="宋体" w:hAnsi="宋体" w:hint="eastAsia"/>
                <w:sz w:val="24"/>
              </w:rPr>
              <w:t>公告依据</w:t>
            </w:r>
          </w:p>
        </w:tc>
        <w:tc>
          <w:tcPr>
            <w:tcW w:w="5114" w:type="dxa"/>
            <w:gridSpan w:val="3"/>
            <w:vAlign w:val="center"/>
          </w:tcPr>
          <w:p w:rsidR="004115AC" w:rsidRDefault="003243BD">
            <w:pPr>
              <w:rPr>
                <w:rFonts w:ascii="宋体" w:eastAsia="宋体" w:hAnsi="宋体"/>
                <w:sz w:val="24"/>
              </w:rPr>
            </w:pPr>
            <w:r>
              <w:rPr>
                <w:rFonts w:ascii="宋体" w:eastAsia="宋体" w:hAnsi="宋体" w:hint="eastAsia"/>
                <w:sz w:val="24"/>
              </w:rPr>
              <w:t>根据有关法律法规及《博时合鑫货币市场基金基金合同》、《博时合鑫货币市场基金招募说明书》等的规定</w:t>
            </w:r>
          </w:p>
        </w:tc>
      </w:tr>
      <w:tr w:rsidR="004115AC">
        <w:tc>
          <w:tcPr>
            <w:tcW w:w="1704" w:type="dxa"/>
            <w:vMerge w:val="restart"/>
            <w:vAlign w:val="center"/>
          </w:tcPr>
          <w:p w:rsidR="004115AC" w:rsidRDefault="003243BD">
            <w:pPr>
              <w:rPr>
                <w:rFonts w:ascii="宋体" w:eastAsia="宋体" w:hAnsi="宋体"/>
                <w:sz w:val="24"/>
              </w:rPr>
            </w:pPr>
            <w:r>
              <w:rPr>
                <w:rFonts w:ascii="宋体" w:eastAsia="宋体" w:hAnsi="宋体" w:hint="eastAsia"/>
                <w:sz w:val="24"/>
              </w:rPr>
              <w:t>暂停相关业务的起始日、金额及原因说明</w:t>
            </w:r>
          </w:p>
        </w:tc>
        <w:tc>
          <w:tcPr>
            <w:tcW w:w="1704" w:type="dxa"/>
            <w:vAlign w:val="center"/>
          </w:tcPr>
          <w:p w:rsidR="004115AC" w:rsidRDefault="003243BD">
            <w:pPr>
              <w:rPr>
                <w:rFonts w:ascii="宋体" w:eastAsia="宋体" w:hAnsi="宋体"/>
                <w:sz w:val="24"/>
              </w:rPr>
            </w:pPr>
            <w:r>
              <w:rPr>
                <w:rFonts w:ascii="宋体" w:eastAsia="宋体" w:hAnsi="宋体" w:hint="eastAsia"/>
                <w:sz w:val="24"/>
              </w:rPr>
              <w:t>暂停大额申购起始日</w:t>
            </w:r>
          </w:p>
        </w:tc>
        <w:tc>
          <w:tcPr>
            <w:tcW w:w="5114" w:type="dxa"/>
            <w:gridSpan w:val="3"/>
            <w:vAlign w:val="center"/>
          </w:tcPr>
          <w:p w:rsidR="004115AC" w:rsidRDefault="003243BD">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31</w:t>
            </w:r>
            <w:r>
              <w:rPr>
                <w:rFonts w:ascii="宋体" w:eastAsia="宋体" w:hAnsi="宋体"/>
                <w:sz w:val="24"/>
              </w:rPr>
              <w:t>日</w:t>
            </w:r>
          </w:p>
        </w:tc>
      </w:tr>
      <w:tr w:rsidR="004115AC">
        <w:tc>
          <w:tcPr>
            <w:tcW w:w="1704" w:type="dxa"/>
            <w:vMerge/>
            <w:vAlign w:val="center"/>
          </w:tcPr>
          <w:p w:rsidR="004115AC" w:rsidRDefault="004115AC"/>
        </w:tc>
        <w:tc>
          <w:tcPr>
            <w:tcW w:w="1704" w:type="dxa"/>
            <w:vAlign w:val="center"/>
          </w:tcPr>
          <w:p w:rsidR="004115AC" w:rsidRDefault="003243BD">
            <w:pPr>
              <w:rPr>
                <w:rFonts w:ascii="宋体" w:eastAsia="宋体" w:hAnsi="宋体"/>
                <w:sz w:val="24"/>
              </w:rPr>
            </w:pPr>
            <w:r>
              <w:rPr>
                <w:rFonts w:ascii="宋体" w:eastAsia="宋体" w:hAnsi="宋体" w:hint="eastAsia"/>
                <w:sz w:val="24"/>
              </w:rPr>
              <w:t>暂停大额转换转入起始日</w:t>
            </w:r>
          </w:p>
        </w:tc>
        <w:tc>
          <w:tcPr>
            <w:tcW w:w="5114" w:type="dxa"/>
            <w:gridSpan w:val="3"/>
            <w:vAlign w:val="center"/>
          </w:tcPr>
          <w:p w:rsidR="004115AC" w:rsidRDefault="003243BD">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31</w:t>
            </w:r>
            <w:r>
              <w:rPr>
                <w:rFonts w:ascii="宋体" w:eastAsia="宋体" w:hAnsi="宋体"/>
                <w:sz w:val="24"/>
              </w:rPr>
              <w:t>日</w:t>
            </w:r>
          </w:p>
        </w:tc>
      </w:tr>
      <w:tr w:rsidR="004115AC">
        <w:tc>
          <w:tcPr>
            <w:tcW w:w="1704" w:type="dxa"/>
            <w:vMerge/>
            <w:vAlign w:val="center"/>
          </w:tcPr>
          <w:p w:rsidR="004115AC" w:rsidRDefault="004115AC"/>
        </w:tc>
        <w:tc>
          <w:tcPr>
            <w:tcW w:w="1704" w:type="dxa"/>
            <w:vAlign w:val="center"/>
          </w:tcPr>
          <w:p w:rsidR="004115AC" w:rsidRDefault="003243BD">
            <w:pPr>
              <w:rPr>
                <w:rFonts w:ascii="宋体" w:eastAsia="宋体" w:hAnsi="宋体"/>
                <w:sz w:val="24"/>
              </w:rPr>
            </w:pPr>
            <w:r>
              <w:rPr>
                <w:rFonts w:ascii="宋体" w:eastAsia="宋体" w:hAnsi="宋体" w:hint="eastAsia"/>
                <w:sz w:val="24"/>
              </w:rPr>
              <w:t>暂停大额定期定额投资起始日</w:t>
            </w:r>
          </w:p>
        </w:tc>
        <w:tc>
          <w:tcPr>
            <w:tcW w:w="5114" w:type="dxa"/>
            <w:gridSpan w:val="3"/>
            <w:vAlign w:val="center"/>
          </w:tcPr>
          <w:p w:rsidR="004115AC" w:rsidRDefault="003243BD">
            <w:pPr>
              <w:rPr>
                <w:rFonts w:ascii="宋体" w:eastAsia="宋体" w:hAnsi="宋体"/>
                <w:sz w:val="24"/>
              </w:rPr>
            </w:pPr>
            <w:r>
              <w:rPr>
                <w:rFonts w:ascii="宋体" w:eastAsia="宋体" w:hAnsi="宋体"/>
                <w:sz w:val="24"/>
              </w:rPr>
              <w:t>2025</w:t>
            </w:r>
            <w:r>
              <w:rPr>
                <w:rFonts w:ascii="宋体" w:eastAsia="宋体" w:hAnsi="宋体"/>
                <w:sz w:val="24"/>
              </w:rPr>
              <w:t>年</w:t>
            </w:r>
            <w:r>
              <w:rPr>
                <w:rFonts w:ascii="宋体" w:eastAsia="宋体" w:hAnsi="宋体"/>
                <w:sz w:val="24"/>
              </w:rPr>
              <w:t>12</w:t>
            </w:r>
            <w:r>
              <w:rPr>
                <w:rFonts w:ascii="宋体" w:eastAsia="宋体" w:hAnsi="宋体"/>
                <w:sz w:val="24"/>
              </w:rPr>
              <w:t>月</w:t>
            </w:r>
            <w:r>
              <w:rPr>
                <w:rFonts w:ascii="宋体" w:eastAsia="宋体" w:hAnsi="宋体"/>
                <w:sz w:val="24"/>
              </w:rPr>
              <w:t>31</w:t>
            </w:r>
            <w:r>
              <w:rPr>
                <w:rFonts w:ascii="宋体" w:eastAsia="宋体" w:hAnsi="宋体"/>
                <w:sz w:val="24"/>
              </w:rPr>
              <w:t>日</w:t>
            </w:r>
          </w:p>
        </w:tc>
      </w:tr>
      <w:tr w:rsidR="004115AC">
        <w:tc>
          <w:tcPr>
            <w:tcW w:w="1704" w:type="dxa"/>
            <w:vMerge/>
            <w:vAlign w:val="center"/>
          </w:tcPr>
          <w:p w:rsidR="004115AC" w:rsidRDefault="004115AC"/>
        </w:tc>
        <w:tc>
          <w:tcPr>
            <w:tcW w:w="1704" w:type="dxa"/>
            <w:vAlign w:val="center"/>
          </w:tcPr>
          <w:p w:rsidR="004115AC" w:rsidRDefault="003243BD">
            <w:pPr>
              <w:rPr>
                <w:rFonts w:ascii="宋体" w:eastAsia="宋体" w:hAnsi="宋体"/>
                <w:sz w:val="24"/>
              </w:rPr>
            </w:pPr>
            <w:r>
              <w:rPr>
                <w:rFonts w:ascii="宋体" w:eastAsia="宋体" w:hAnsi="宋体" w:hint="eastAsia"/>
                <w:sz w:val="24"/>
              </w:rPr>
              <w:t>限制申购投资金额（单位：元）</w:t>
            </w:r>
          </w:p>
        </w:tc>
        <w:tc>
          <w:tcPr>
            <w:tcW w:w="5114" w:type="dxa"/>
            <w:gridSpan w:val="3"/>
            <w:vAlign w:val="center"/>
          </w:tcPr>
          <w:p w:rsidR="004115AC" w:rsidRDefault="003243BD">
            <w:pPr>
              <w:rPr>
                <w:rFonts w:ascii="宋体" w:eastAsia="宋体" w:hAnsi="宋体"/>
                <w:sz w:val="24"/>
              </w:rPr>
            </w:pPr>
            <w:r>
              <w:rPr>
                <w:rFonts w:ascii="宋体" w:eastAsia="宋体" w:hAnsi="宋体"/>
                <w:sz w:val="24"/>
              </w:rPr>
              <w:t>100,000.00</w:t>
            </w:r>
          </w:p>
        </w:tc>
      </w:tr>
      <w:tr w:rsidR="004115AC">
        <w:tc>
          <w:tcPr>
            <w:tcW w:w="1704" w:type="dxa"/>
            <w:vMerge/>
            <w:vAlign w:val="center"/>
          </w:tcPr>
          <w:p w:rsidR="004115AC" w:rsidRDefault="004115AC"/>
        </w:tc>
        <w:tc>
          <w:tcPr>
            <w:tcW w:w="1704" w:type="dxa"/>
            <w:vAlign w:val="center"/>
          </w:tcPr>
          <w:p w:rsidR="004115AC" w:rsidRDefault="003243BD">
            <w:pPr>
              <w:rPr>
                <w:rFonts w:ascii="宋体" w:eastAsia="宋体" w:hAnsi="宋体"/>
                <w:sz w:val="24"/>
              </w:rPr>
            </w:pPr>
            <w:r>
              <w:rPr>
                <w:rFonts w:ascii="宋体" w:eastAsia="宋体" w:hAnsi="宋体" w:hint="eastAsia"/>
                <w:sz w:val="24"/>
              </w:rPr>
              <w:t>限制转换转入投资金额（单位：元）</w:t>
            </w:r>
          </w:p>
        </w:tc>
        <w:tc>
          <w:tcPr>
            <w:tcW w:w="5114" w:type="dxa"/>
            <w:gridSpan w:val="3"/>
            <w:vAlign w:val="center"/>
          </w:tcPr>
          <w:p w:rsidR="004115AC" w:rsidRDefault="003243BD">
            <w:pPr>
              <w:rPr>
                <w:rFonts w:ascii="宋体" w:eastAsia="宋体" w:hAnsi="宋体"/>
                <w:sz w:val="24"/>
              </w:rPr>
            </w:pPr>
            <w:r>
              <w:rPr>
                <w:rFonts w:ascii="宋体" w:eastAsia="宋体" w:hAnsi="宋体"/>
                <w:sz w:val="24"/>
              </w:rPr>
              <w:t>100,000.00</w:t>
            </w:r>
          </w:p>
        </w:tc>
      </w:tr>
      <w:tr w:rsidR="004115AC">
        <w:tc>
          <w:tcPr>
            <w:tcW w:w="1704" w:type="dxa"/>
            <w:vMerge/>
            <w:vAlign w:val="center"/>
          </w:tcPr>
          <w:p w:rsidR="004115AC" w:rsidRDefault="004115AC"/>
        </w:tc>
        <w:tc>
          <w:tcPr>
            <w:tcW w:w="1704" w:type="dxa"/>
            <w:vAlign w:val="center"/>
          </w:tcPr>
          <w:p w:rsidR="004115AC" w:rsidRDefault="003243BD">
            <w:pPr>
              <w:rPr>
                <w:rFonts w:ascii="宋体" w:eastAsia="宋体" w:hAnsi="宋体"/>
                <w:sz w:val="24"/>
              </w:rPr>
            </w:pPr>
            <w:r>
              <w:rPr>
                <w:rFonts w:ascii="宋体" w:eastAsia="宋体" w:hAnsi="宋体" w:hint="eastAsia"/>
                <w:sz w:val="24"/>
              </w:rPr>
              <w:t>限制定期定额投资金额（单位：元）</w:t>
            </w:r>
          </w:p>
        </w:tc>
        <w:tc>
          <w:tcPr>
            <w:tcW w:w="5114" w:type="dxa"/>
            <w:gridSpan w:val="3"/>
            <w:vAlign w:val="center"/>
          </w:tcPr>
          <w:p w:rsidR="004115AC" w:rsidRDefault="003243BD">
            <w:pPr>
              <w:rPr>
                <w:rFonts w:ascii="宋体" w:eastAsia="宋体" w:hAnsi="宋体"/>
                <w:sz w:val="24"/>
              </w:rPr>
            </w:pPr>
            <w:r>
              <w:rPr>
                <w:rFonts w:ascii="宋体" w:eastAsia="宋体" w:hAnsi="宋体"/>
                <w:sz w:val="24"/>
              </w:rPr>
              <w:t>100,000.00</w:t>
            </w:r>
          </w:p>
        </w:tc>
      </w:tr>
      <w:tr w:rsidR="004115AC">
        <w:tc>
          <w:tcPr>
            <w:tcW w:w="1704" w:type="dxa"/>
            <w:vMerge/>
            <w:vAlign w:val="center"/>
          </w:tcPr>
          <w:p w:rsidR="004115AC" w:rsidRDefault="004115AC"/>
        </w:tc>
        <w:tc>
          <w:tcPr>
            <w:tcW w:w="1704" w:type="dxa"/>
            <w:vAlign w:val="center"/>
          </w:tcPr>
          <w:p w:rsidR="004115AC" w:rsidRDefault="003243BD">
            <w:pPr>
              <w:rPr>
                <w:rFonts w:ascii="宋体" w:eastAsia="宋体" w:hAnsi="宋体"/>
                <w:sz w:val="24"/>
              </w:rPr>
            </w:pPr>
            <w:r>
              <w:rPr>
                <w:rFonts w:ascii="宋体" w:eastAsia="宋体" w:hAnsi="宋体" w:hint="eastAsia"/>
                <w:sz w:val="24"/>
              </w:rPr>
              <w:t>暂停大额申购、转换转入、定期定额投资的原因说明</w:t>
            </w:r>
          </w:p>
        </w:tc>
        <w:tc>
          <w:tcPr>
            <w:tcW w:w="5114" w:type="dxa"/>
            <w:gridSpan w:val="3"/>
            <w:vAlign w:val="center"/>
          </w:tcPr>
          <w:p w:rsidR="004115AC" w:rsidRDefault="003243BD">
            <w:pPr>
              <w:rPr>
                <w:rFonts w:ascii="宋体" w:eastAsia="宋体" w:hAnsi="宋体"/>
                <w:sz w:val="24"/>
              </w:rPr>
            </w:pPr>
            <w:r>
              <w:rPr>
                <w:rFonts w:ascii="宋体" w:eastAsia="宋体" w:hAnsi="宋体" w:hint="eastAsia"/>
                <w:sz w:val="24"/>
              </w:rPr>
              <w:t>为保护基金份额持有人利益</w:t>
            </w:r>
          </w:p>
        </w:tc>
      </w:tr>
      <w:tr w:rsidR="004115AC">
        <w:tc>
          <w:tcPr>
            <w:tcW w:w="3408" w:type="dxa"/>
            <w:gridSpan w:val="2"/>
            <w:vAlign w:val="center"/>
          </w:tcPr>
          <w:p w:rsidR="004115AC" w:rsidRDefault="003243BD">
            <w:pPr>
              <w:rPr>
                <w:rFonts w:ascii="宋体" w:eastAsia="宋体" w:hAnsi="宋体"/>
                <w:sz w:val="24"/>
              </w:rPr>
            </w:pPr>
            <w:r>
              <w:rPr>
                <w:rFonts w:ascii="宋体" w:eastAsia="宋体" w:hAnsi="宋体" w:hint="eastAsia"/>
                <w:sz w:val="24"/>
              </w:rPr>
              <w:t>下属基金份额的基金简称</w:t>
            </w:r>
          </w:p>
        </w:tc>
        <w:tc>
          <w:tcPr>
            <w:tcW w:w="1704" w:type="dxa"/>
            <w:vAlign w:val="center"/>
          </w:tcPr>
          <w:p w:rsidR="004115AC" w:rsidRDefault="003243BD">
            <w:pPr>
              <w:rPr>
                <w:rFonts w:ascii="宋体" w:eastAsia="宋体" w:hAnsi="宋体"/>
                <w:sz w:val="24"/>
              </w:rPr>
            </w:pPr>
            <w:r>
              <w:rPr>
                <w:rFonts w:ascii="宋体" w:eastAsia="宋体" w:hAnsi="宋体" w:hint="eastAsia"/>
                <w:sz w:val="24"/>
              </w:rPr>
              <w:t>博时合鑫货币</w:t>
            </w:r>
            <w:r>
              <w:rPr>
                <w:rFonts w:ascii="宋体" w:eastAsia="宋体" w:hAnsi="宋体"/>
                <w:sz w:val="24"/>
              </w:rPr>
              <w:t>A</w:t>
            </w:r>
          </w:p>
        </w:tc>
        <w:tc>
          <w:tcPr>
            <w:tcW w:w="1705" w:type="dxa"/>
            <w:vAlign w:val="center"/>
          </w:tcPr>
          <w:p w:rsidR="004115AC" w:rsidRDefault="003243BD">
            <w:pPr>
              <w:rPr>
                <w:rFonts w:ascii="宋体" w:eastAsia="宋体" w:hAnsi="宋体"/>
                <w:sz w:val="24"/>
              </w:rPr>
            </w:pPr>
            <w:r>
              <w:rPr>
                <w:rFonts w:ascii="宋体" w:eastAsia="宋体" w:hAnsi="宋体" w:hint="eastAsia"/>
                <w:sz w:val="24"/>
              </w:rPr>
              <w:t>博时合鑫货币</w:t>
            </w:r>
            <w:r>
              <w:rPr>
                <w:rFonts w:ascii="宋体" w:eastAsia="宋体" w:hAnsi="宋体"/>
                <w:sz w:val="24"/>
              </w:rPr>
              <w:t>B</w:t>
            </w:r>
          </w:p>
        </w:tc>
        <w:tc>
          <w:tcPr>
            <w:tcW w:w="1705" w:type="dxa"/>
            <w:vAlign w:val="center"/>
          </w:tcPr>
          <w:p w:rsidR="004115AC" w:rsidRDefault="003243BD">
            <w:pPr>
              <w:rPr>
                <w:rFonts w:ascii="宋体" w:eastAsia="宋体" w:hAnsi="宋体"/>
                <w:sz w:val="24"/>
              </w:rPr>
            </w:pPr>
            <w:r>
              <w:rPr>
                <w:rFonts w:ascii="宋体" w:eastAsia="宋体" w:hAnsi="宋体" w:hint="eastAsia"/>
                <w:sz w:val="24"/>
              </w:rPr>
              <w:t>博时合鑫货币</w:t>
            </w:r>
            <w:r>
              <w:rPr>
                <w:rFonts w:ascii="宋体" w:eastAsia="宋体" w:hAnsi="宋体"/>
                <w:sz w:val="24"/>
              </w:rPr>
              <w:t>C</w:t>
            </w:r>
          </w:p>
        </w:tc>
      </w:tr>
      <w:tr w:rsidR="004115AC">
        <w:tc>
          <w:tcPr>
            <w:tcW w:w="3408" w:type="dxa"/>
            <w:gridSpan w:val="2"/>
            <w:vAlign w:val="center"/>
          </w:tcPr>
          <w:p w:rsidR="004115AC" w:rsidRDefault="003243BD">
            <w:pPr>
              <w:rPr>
                <w:rFonts w:ascii="宋体" w:eastAsia="宋体" w:hAnsi="宋体"/>
                <w:sz w:val="24"/>
              </w:rPr>
            </w:pPr>
            <w:r>
              <w:rPr>
                <w:rFonts w:ascii="宋体" w:eastAsia="宋体" w:hAnsi="宋体" w:hint="eastAsia"/>
                <w:sz w:val="24"/>
              </w:rPr>
              <w:t>下属基金份额的交易代码</w:t>
            </w:r>
          </w:p>
        </w:tc>
        <w:tc>
          <w:tcPr>
            <w:tcW w:w="1704" w:type="dxa"/>
            <w:vAlign w:val="center"/>
          </w:tcPr>
          <w:p w:rsidR="004115AC" w:rsidRDefault="003243BD">
            <w:pPr>
              <w:rPr>
                <w:rFonts w:ascii="宋体" w:eastAsia="宋体" w:hAnsi="宋体"/>
                <w:sz w:val="24"/>
              </w:rPr>
            </w:pPr>
            <w:r>
              <w:rPr>
                <w:rFonts w:ascii="宋体" w:eastAsia="宋体" w:hAnsi="宋体"/>
                <w:sz w:val="24"/>
              </w:rPr>
              <w:t>018907</w:t>
            </w:r>
          </w:p>
        </w:tc>
        <w:tc>
          <w:tcPr>
            <w:tcW w:w="1705" w:type="dxa"/>
            <w:vAlign w:val="center"/>
          </w:tcPr>
          <w:p w:rsidR="004115AC" w:rsidRDefault="003243BD">
            <w:pPr>
              <w:rPr>
                <w:rFonts w:ascii="宋体" w:eastAsia="宋体" w:hAnsi="宋体"/>
                <w:sz w:val="24"/>
              </w:rPr>
            </w:pPr>
            <w:r>
              <w:rPr>
                <w:rFonts w:ascii="宋体" w:eastAsia="宋体" w:hAnsi="宋体"/>
                <w:sz w:val="24"/>
              </w:rPr>
              <w:t>003206</w:t>
            </w:r>
          </w:p>
        </w:tc>
        <w:tc>
          <w:tcPr>
            <w:tcW w:w="1705" w:type="dxa"/>
            <w:vAlign w:val="center"/>
          </w:tcPr>
          <w:p w:rsidR="004115AC" w:rsidRDefault="003243BD">
            <w:pPr>
              <w:rPr>
                <w:rFonts w:ascii="宋体" w:eastAsia="宋体" w:hAnsi="宋体"/>
                <w:sz w:val="24"/>
              </w:rPr>
            </w:pPr>
            <w:r>
              <w:rPr>
                <w:rFonts w:ascii="宋体" w:eastAsia="宋体" w:hAnsi="宋体"/>
                <w:sz w:val="24"/>
              </w:rPr>
              <w:t>026281</w:t>
            </w:r>
          </w:p>
        </w:tc>
      </w:tr>
      <w:tr w:rsidR="004115AC">
        <w:tc>
          <w:tcPr>
            <w:tcW w:w="3408" w:type="dxa"/>
            <w:gridSpan w:val="2"/>
            <w:vAlign w:val="center"/>
          </w:tcPr>
          <w:p w:rsidR="004115AC" w:rsidRDefault="003243BD">
            <w:pPr>
              <w:rPr>
                <w:rFonts w:ascii="宋体" w:eastAsia="宋体" w:hAnsi="宋体"/>
                <w:sz w:val="24"/>
              </w:rPr>
            </w:pPr>
            <w:r>
              <w:rPr>
                <w:rFonts w:ascii="宋体" w:eastAsia="宋体" w:hAnsi="宋体" w:hint="eastAsia"/>
                <w:sz w:val="24"/>
              </w:rPr>
              <w:t>该类基金份额是否暂停大额申购、转换转入、定期定额投资业务</w:t>
            </w:r>
          </w:p>
        </w:tc>
        <w:tc>
          <w:tcPr>
            <w:tcW w:w="1704" w:type="dxa"/>
            <w:vAlign w:val="center"/>
          </w:tcPr>
          <w:p w:rsidR="004115AC" w:rsidRDefault="003243BD">
            <w:pPr>
              <w:rPr>
                <w:rFonts w:ascii="宋体" w:eastAsia="宋体" w:hAnsi="宋体"/>
                <w:sz w:val="24"/>
              </w:rPr>
            </w:pPr>
            <w:r>
              <w:rPr>
                <w:rFonts w:ascii="宋体" w:eastAsia="宋体" w:hAnsi="宋体" w:hint="eastAsia"/>
                <w:sz w:val="24"/>
              </w:rPr>
              <w:t>是</w:t>
            </w:r>
          </w:p>
        </w:tc>
        <w:tc>
          <w:tcPr>
            <w:tcW w:w="1705" w:type="dxa"/>
            <w:vAlign w:val="center"/>
          </w:tcPr>
          <w:p w:rsidR="004115AC" w:rsidRDefault="003243BD">
            <w:pPr>
              <w:rPr>
                <w:rFonts w:ascii="宋体" w:eastAsia="宋体" w:hAnsi="宋体"/>
                <w:sz w:val="24"/>
              </w:rPr>
            </w:pPr>
            <w:r>
              <w:rPr>
                <w:rFonts w:ascii="宋体" w:eastAsia="宋体" w:hAnsi="宋体" w:hint="eastAsia"/>
                <w:sz w:val="24"/>
              </w:rPr>
              <w:t>是</w:t>
            </w:r>
          </w:p>
        </w:tc>
        <w:tc>
          <w:tcPr>
            <w:tcW w:w="1705" w:type="dxa"/>
            <w:vAlign w:val="center"/>
          </w:tcPr>
          <w:p w:rsidR="004115AC" w:rsidRDefault="003243BD">
            <w:pPr>
              <w:rPr>
                <w:rFonts w:ascii="宋体" w:eastAsia="宋体" w:hAnsi="宋体"/>
                <w:sz w:val="24"/>
              </w:rPr>
            </w:pPr>
            <w:r>
              <w:rPr>
                <w:rFonts w:ascii="宋体" w:eastAsia="宋体" w:hAnsi="宋体" w:hint="eastAsia"/>
                <w:sz w:val="24"/>
              </w:rPr>
              <w:t>是</w:t>
            </w:r>
          </w:p>
        </w:tc>
      </w:tr>
    </w:tbl>
    <w:p w:rsidR="004115AC" w:rsidRDefault="004115AC"/>
    <w:p w:rsidR="004115AC" w:rsidRDefault="003243BD">
      <w:pPr>
        <w:pStyle w:val="3"/>
        <w:rPr>
          <w:rFonts w:ascii="宋体" w:eastAsia="宋体" w:hAnsi="宋体"/>
          <w:sz w:val="24"/>
        </w:rPr>
      </w:pPr>
      <w:r>
        <w:rPr>
          <w:rFonts w:ascii="宋体" w:eastAsia="宋体" w:hAnsi="宋体" w:hint="eastAsia"/>
          <w:sz w:val="24"/>
        </w:rPr>
        <w:t>2</w:t>
      </w:r>
      <w:r>
        <w:rPr>
          <w:rFonts w:ascii="宋体" w:eastAsia="宋体" w:hAnsi="宋体" w:hint="eastAsia"/>
          <w:sz w:val="24"/>
        </w:rPr>
        <w:t>、其他需要提示的事项</w:t>
      </w:r>
    </w:p>
    <w:p w:rsidR="004115AC" w:rsidRDefault="003243BD">
      <w:pPr>
        <w:pStyle w:val="a3"/>
        <w:spacing w:before="0" w:beforeAutospacing="0" w:after="0" w:afterAutospacing="0" w:line="360" w:lineRule="auto"/>
        <w:ind w:firstLine="420"/>
      </w:pPr>
      <w:r>
        <w:rPr>
          <w:rFonts w:hint="eastAsia"/>
        </w:rPr>
        <w:t>（</w:t>
      </w:r>
      <w:r>
        <w:rPr>
          <w:rFonts w:hint="eastAsia"/>
        </w:rPr>
        <w:t>1</w:t>
      </w:r>
      <w:r>
        <w:rPr>
          <w:rFonts w:hint="eastAsia"/>
        </w:rPr>
        <w:t>）</w:t>
      </w:r>
      <w:r>
        <w:rPr>
          <w:rFonts w:hint="eastAsia"/>
        </w:rPr>
        <w:t>2025</w:t>
      </w:r>
      <w:r>
        <w:rPr>
          <w:rFonts w:hint="eastAsia"/>
        </w:rPr>
        <w:t>年</w:t>
      </w:r>
      <w:r>
        <w:rPr>
          <w:rFonts w:hint="eastAsia"/>
        </w:rPr>
        <w:t>12</w:t>
      </w:r>
      <w:r>
        <w:rPr>
          <w:rFonts w:hint="eastAsia"/>
        </w:rPr>
        <w:t>月</w:t>
      </w:r>
      <w:r>
        <w:rPr>
          <w:rFonts w:hint="eastAsia"/>
        </w:rPr>
        <w:t>31</w:t>
      </w:r>
      <w:r>
        <w:rPr>
          <w:rFonts w:hint="eastAsia"/>
        </w:rPr>
        <w:t>日起，投资人通过各代销机构申购本基金个人账户单日每个基金账户的申购、转换转入、定期定额投资累计金额应不超过</w:t>
      </w:r>
      <w:r>
        <w:rPr>
          <w:rFonts w:hint="eastAsia"/>
        </w:rPr>
        <w:t>10</w:t>
      </w:r>
      <w:r>
        <w:rPr>
          <w:rFonts w:hint="eastAsia"/>
        </w:rPr>
        <w:t>00</w:t>
      </w:r>
      <w:r>
        <w:rPr>
          <w:rFonts w:hint="eastAsia"/>
        </w:rPr>
        <w:t>万元（本基金</w:t>
      </w:r>
      <w:r>
        <w:rPr>
          <w:rFonts w:hint="eastAsia"/>
        </w:rPr>
        <w:t>A,B,C</w:t>
      </w:r>
      <w:r>
        <w:rPr>
          <w:rFonts w:hint="eastAsia"/>
        </w:rPr>
        <w:t>三类基金份额申请金额予以合计）</w:t>
      </w:r>
      <w:r>
        <w:rPr>
          <w:rFonts w:hint="eastAsia"/>
        </w:rPr>
        <w:t>；机构</w:t>
      </w:r>
      <w:r>
        <w:rPr>
          <w:rFonts w:hint="eastAsia"/>
        </w:rPr>
        <w:t>账户单日每个基金账户的申购、转换转入、定期定额投资累计金额应不超过</w:t>
      </w:r>
      <w:r>
        <w:rPr>
          <w:rFonts w:hint="eastAsia"/>
        </w:rPr>
        <w:t>1</w:t>
      </w:r>
      <w:r>
        <w:rPr>
          <w:rFonts w:hint="eastAsia"/>
        </w:rPr>
        <w:t>00</w:t>
      </w:r>
      <w:r>
        <w:rPr>
          <w:rFonts w:hint="eastAsia"/>
        </w:rPr>
        <w:t>万元</w:t>
      </w:r>
      <w:r>
        <w:rPr>
          <w:rFonts w:hint="eastAsia"/>
        </w:rPr>
        <w:t>（下列销售机构除外）</w:t>
      </w:r>
      <w:r>
        <w:rPr>
          <w:rFonts w:hint="eastAsia"/>
        </w:rPr>
        <w:t>（本基金</w:t>
      </w:r>
      <w:r>
        <w:rPr>
          <w:rFonts w:hint="eastAsia"/>
        </w:rPr>
        <w:t>A,B,C</w:t>
      </w:r>
      <w:r>
        <w:rPr>
          <w:rFonts w:hint="eastAsia"/>
        </w:rPr>
        <w:t>三类基金份额申请金额予以合计）。如单日每个基金账户的申购、转换转入</w:t>
      </w:r>
      <w:r>
        <w:rPr>
          <w:rFonts w:hint="eastAsia"/>
        </w:rPr>
        <w:t>、</w:t>
      </w:r>
      <w:r>
        <w:rPr>
          <w:rFonts w:hint="eastAsia"/>
        </w:rPr>
        <w:t>定期定额投资累计金额超过以上情况，本基金管理人有权拒绝。</w:t>
      </w:r>
    </w:p>
    <w:p w:rsidR="004115AC" w:rsidRDefault="003243BD">
      <w:pPr>
        <w:pStyle w:val="a3"/>
        <w:spacing w:before="0" w:beforeAutospacing="0" w:after="0" w:afterAutospacing="0" w:line="360" w:lineRule="auto"/>
        <w:ind w:firstLine="420"/>
      </w:pPr>
      <w:r>
        <w:rPr>
          <w:rFonts w:hint="eastAsia"/>
        </w:rPr>
        <w:t>其中，</w:t>
      </w:r>
      <w:r>
        <w:rPr>
          <w:rFonts w:hint="eastAsia"/>
        </w:rPr>
        <w:t>2025</w:t>
      </w:r>
      <w:r>
        <w:rPr>
          <w:rFonts w:hint="eastAsia"/>
        </w:rPr>
        <w:t>年</w:t>
      </w:r>
      <w:r>
        <w:rPr>
          <w:rFonts w:hint="eastAsia"/>
        </w:rPr>
        <w:t>12</w:t>
      </w:r>
      <w:r>
        <w:rPr>
          <w:rFonts w:hint="eastAsia"/>
        </w:rPr>
        <w:t>月</w:t>
      </w:r>
      <w:r>
        <w:rPr>
          <w:rFonts w:hint="eastAsia"/>
        </w:rPr>
        <w:t>31</w:t>
      </w:r>
      <w:r>
        <w:rPr>
          <w:rFonts w:hint="eastAsia"/>
        </w:rPr>
        <w:t>日起，本基金</w:t>
      </w:r>
      <w:r>
        <w:rPr>
          <w:rFonts w:hint="eastAsia"/>
        </w:rPr>
        <w:t>机构投资者单日单个基金账户在东莞银行股份有限公司、上海万得基金销售有限公司、大连网金基金销售有限公司、北京创金启富基金销售有限公司、浙江同花顺基金销售有限公司、深圳众禄基金销售股份有限公司、深圳腾元基金销售有限公司、上海利得基金销售有限公司、京东肯特瑞基金销售有限公司、中国中金财富证券有限公司、国联民生证券股份有限公司、上海中欧财富基金销售有限公司、上海天天基金销售有限公司、财通证券股份有限公司、中信建投证券股份有限公司</w:t>
      </w:r>
      <w:bookmarkStart w:id="0" w:name="_GoBack"/>
      <w:bookmarkEnd w:id="0"/>
      <w:r>
        <w:rPr>
          <w:rFonts w:hint="eastAsia"/>
        </w:rPr>
        <w:t>的申购、转换转入、定期定额投资累计金额应不超过</w:t>
      </w:r>
      <w:r>
        <w:rPr>
          <w:rFonts w:hint="eastAsia"/>
        </w:rPr>
        <w:t>10</w:t>
      </w:r>
      <w:r>
        <w:rPr>
          <w:rFonts w:hint="eastAsia"/>
        </w:rPr>
        <w:t>万元（本基金</w:t>
      </w:r>
      <w:r>
        <w:rPr>
          <w:rFonts w:hint="eastAsia"/>
        </w:rPr>
        <w:t>A,B,C</w:t>
      </w:r>
      <w:r>
        <w:rPr>
          <w:rFonts w:hint="eastAsia"/>
        </w:rPr>
        <w:t>三类基金份额申请</w:t>
      </w:r>
      <w:r>
        <w:rPr>
          <w:rFonts w:hint="eastAsia"/>
        </w:rPr>
        <w:t>金额予以合计）。如</w:t>
      </w:r>
      <w:r>
        <w:rPr>
          <w:rFonts w:hint="eastAsia"/>
        </w:rPr>
        <w:t>以上</w:t>
      </w:r>
      <w:r>
        <w:rPr>
          <w:rFonts w:hint="eastAsia"/>
        </w:rPr>
        <w:t>机构投资者单日单个基金账户通过上述销售机构的申购、转换转入、定期定额投资累计金额超过</w:t>
      </w:r>
      <w:r>
        <w:rPr>
          <w:rFonts w:hint="eastAsia"/>
        </w:rPr>
        <w:t>10</w:t>
      </w:r>
      <w:r>
        <w:rPr>
          <w:rFonts w:hint="eastAsia"/>
        </w:rPr>
        <w:t>万元，本基金管理人有权拒绝。</w:t>
      </w:r>
    </w:p>
    <w:p w:rsidR="004115AC" w:rsidRDefault="003243BD">
      <w:pPr>
        <w:pStyle w:val="a3"/>
        <w:spacing w:before="0" w:beforeAutospacing="0" w:after="0" w:afterAutospacing="0" w:line="360" w:lineRule="auto"/>
        <w:ind w:firstLine="420"/>
      </w:pPr>
      <w:r>
        <w:rPr>
          <w:rStyle w:val="a5"/>
          <w:rFonts w:hint="eastAsia"/>
        </w:rPr>
        <w:t>如投资者于</w:t>
      </w:r>
      <w:r>
        <w:rPr>
          <w:rStyle w:val="a5"/>
          <w:rFonts w:hint="eastAsia"/>
        </w:rPr>
        <w:t>2025</w:t>
      </w:r>
      <w:r>
        <w:rPr>
          <w:rStyle w:val="a5"/>
          <w:rFonts w:hint="eastAsia"/>
        </w:rPr>
        <w:t>年</w:t>
      </w:r>
      <w:r>
        <w:rPr>
          <w:rStyle w:val="a5"/>
          <w:rFonts w:hint="eastAsia"/>
        </w:rPr>
        <w:t>12</w:t>
      </w:r>
      <w:r>
        <w:rPr>
          <w:rStyle w:val="a5"/>
          <w:rFonts w:hint="eastAsia"/>
        </w:rPr>
        <w:t>月</w:t>
      </w:r>
      <w:r>
        <w:rPr>
          <w:rStyle w:val="a5"/>
          <w:rFonts w:hint="eastAsia"/>
        </w:rPr>
        <w:t>30</w:t>
      </w:r>
      <w:r>
        <w:rPr>
          <w:rStyle w:val="a5"/>
          <w:rFonts w:hint="eastAsia"/>
        </w:rPr>
        <w:t>日</w:t>
      </w:r>
      <w:r>
        <w:rPr>
          <w:rStyle w:val="a5"/>
          <w:rFonts w:hint="eastAsia"/>
        </w:rPr>
        <w:t>15</w:t>
      </w:r>
      <w:r>
        <w:rPr>
          <w:rStyle w:val="a5"/>
          <w:rFonts w:hint="eastAsia"/>
        </w:rPr>
        <w:t>点之后申购、转换转入或定期定额投资上述基金，将适用上述限制安排，敬请投资者注意。</w:t>
      </w:r>
    </w:p>
    <w:p w:rsidR="004115AC" w:rsidRDefault="003243BD">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2025</w:t>
      </w:r>
      <w:r>
        <w:rPr>
          <w:rFonts w:hint="eastAsia"/>
        </w:rPr>
        <w:t>年</w:t>
      </w:r>
      <w:r>
        <w:rPr>
          <w:rFonts w:hint="eastAsia"/>
        </w:rPr>
        <w:t>12</w:t>
      </w:r>
      <w:r>
        <w:rPr>
          <w:rFonts w:hint="eastAsia"/>
        </w:rPr>
        <w:t>月</w:t>
      </w:r>
      <w:r>
        <w:rPr>
          <w:rFonts w:hint="eastAsia"/>
        </w:rPr>
        <w:t>31</w:t>
      </w:r>
      <w:r>
        <w:rPr>
          <w:rFonts w:hint="eastAsia"/>
        </w:rPr>
        <w:t>日起，投资人通过本公司直销</w:t>
      </w:r>
      <w:r>
        <w:rPr>
          <w:rFonts w:hint="eastAsia"/>
        </w:rPr>
        <w:t>渠道</w:t>
      </w:r>
      <w:r>
        <w:rPr>
          <w:rFonts w:hint="eastAsia"/>
        </w:rPr>
        <w:t>申购本基金单日每个基金账户的申购、转换转入、定期定额投资累计金额应不超过</w:t>
      </w:r>
      <w:r>
        <w:rPr>
          <w:rFonts w:hint="eastAsia"/>
        </w:rPr>
        <w:t>20</w:t>
      </w:r>
      <w:r>
        <w:rPr>
          <w:rFonts w:hint="eastAsia"/>
        </w:rPr>
        <w:t>00</w:t>
      </w:r>
      <w:r>
        <w:rPr>
          <w:rFonts w:hint="eastAsia"/>
        </w:rPr>
        <w:t>万元（本基金</w:t>
      </w:r>
      <w:r>
        <w:rPr>
          <w:rFonts w:hint="eastAsia"/>
        </w:rPr>
        <w:t>A,B,C</w:t>
      </w:r>
      <w:r>
        <w:rPr>
          <w:rFonts w:hint="eastAsia"/>
        </w:rPr>
        <w:t>三类基金份额申请金额予以合计）。如单日每个基金账户的申购、转换转入</w:t>
      </w:r>
      <w:r>
        <w:rPr>
          <w:rFonts w:hint="eastAsia"/>
        </w:rPr>
        <w:t>、</w:t>
      </w:r>
      <w:r>
        <w:rPr>
          <w:rFonts w:hint="eastAsia"/>
        </w:rPr>
        <w:t>定期定额投资累计金额超过以上</w:t>
      </w:r>
      <w:r>
        <w:rPr>
          <w:rFonts w:hint="eastAsia"/>
        </w:rPr>
        <w:t>情况，本基金管理人有权拒绝。</w:t>
      </w:r>
      <w:r>
        <w:rPr>
          <w:rStyle w:val="a5"/>
          <w:rFonts w:hint="eastAsia"/>
        </w:rPr>
        <w:t>如投资者于</w:t>
      </w:r>
      <w:r>
        <w:rPr>
          <w:rStyle w:val="a5"/>
          <w:rFonts w:hint="eastAsia"/>
        </w:rPr>
        <w:t>2025</w:t>
      </w:r>
      <w:r>
        <w:rPr>
          <w:rStyle w:val="a5"/>
          <w:rFonts w:hint="eastAsia"/>
        </w:rPr>
        <w:t>年</w:t>
      </w:r>
      <w:r>
        <w:rPr>
          <w:rStyle w:val="a5"/>
          <w:rFonts w:hint="eastAsia"/>
        </w:rPr>
        <w:t>12</w:t>
      </w:r>
      <w:r>
        <w:rPr>
          <w:rStyle w:val="a5"/>
          <w:rFonts w:hint="eastAsia"/>
        </w:rPr>
        <w:t>月</w:t>
      </w:r>
      <w:r>
        <w:rPr>
          <w:rStyle w:val="a5"/>
          <w:rFonts w:hint="eastAsia"/>
        </w:rPr>
        <w:t>30</w:t>
      </w:r>
      <w:r>
        <w:rPr>
          <w:rStyle w:val="a5"/>
          <w:rFonts w:hint="eastAsia"/>
        </w:rPr>
        <w:t>日</w:t>
      </w:r>
      <w:r>
        <w:rPr>
          <w:rStyle w:val="a5"/>
          <w:rFonts w:hint="eastAsia"/>
        </w:rPr>
        <w:t>15</w:t>
      </w:r>
      <w:r>
        <w:rPr>
          <w:rStyle w:val="a5"/>
          <w:rFonts w:hint="eastAsia"/>
        </w:rPr>
        <w:t>点之后申购、转换转入或定期定额投资上述基金，将适用上述限制安排，敬请投资者注意。</w:t>
      </w:r>
    </w:p>
    <w:p w:rsidR="004115AC" w:rsidRDefault="003243BD">
      <w:pPr>
        <w:pStyle w:val="a3"/>
        <w:spacing w:before="0" w:beforeAutospacing="0" w:after="0" w:afterAutospacing="0" w:line="360" w:lineRule="auto"/>
        <w:ind w:firstLine="420"/>
      </w:pPr>
      <w:r>
        <w:rPr>
          <w:rFonts w:hint="eastAsia"/>
        </w:rPr>
        <w:t>（</w:t>
      </w:r>
      <w:r>
        <w:rPr>
          <w:rFonts w:hint="eastAsia"/>
        </w:rPr>
        <w:t>3</w:t>
      </w:r>
      <w:r>
        <w:rPr>
          <w:rFonts w:hint="eastAsia"/>
        </w:rPr>
        <w:t>）在本基金暂停大额申购、转换转入、定期定额投资业务期间，其它业务正常办理。本基金恢复办理大额申购、转换转入、定期定额投资业务的时间将另行公告。</w:t>
      </w:r>
      <w:r>
        <w:rPr>
          <w:rFonts w:hint="eastAsia"/>
        </w:rPr>
        <w:t xml:space="preserve"> </w:t>
      </w:r>
    </w:p>
    <w:p w:rsidR="004115AC" w:rsidRDefault="003243BD">
      <w:pPr>
        <w:pStyle w:val="a3"/>
        <w:spacing w:before="0" w:beforeAutospacing="0" w:after="0" w:afterAutospacing="0" w:line="360" w:lineRule="auto"/>
        <w:ind w:firstLine="420"/>
      </w:pPr>
      <w:r>
        <w:rPr>
          <w:rFonts w:hint="eastAsia"/>
        </w:rPr>
        <w:lastRenderedPageBreak/>
        <w:t>（</w:t>
      </w:r>
      <w:r>
        <w:rPr>
          <w:rFonts w:hint="eastAsia"/>
        </w:rPr>
        <w:t>4</w:t>
      </w:r>
      <w:r>
        <w:rPr>
          <w:rFonts w:hint="eastAsia"/>
        </w:rPr>
        <w:t>）如有疑问，请拨打博时一线通：</w:t>
      </w:r>
      <w:r>
        <w:rPr>
          <w:rFonts w:hint="eastAsia"/>
        </w:rPr>
        <w:t>95105568</w:t>
      </w:r>
      <w:r>
        <w:rPr>
          <w:rFonts w:hint="eastAsia"/>
        </w:rPr>
        <w:t>（免长途话费）或登录本公司网站</w:t>
      </w:r>
      <w:r>
        <w:rPr>
          <w:rFonts w:hint="eastAsia"/>
        </w:rPr>
        <w:t>www.bosera.com</w:t>
      </w:r>
      <w:r>
        <w:rPr>
          <w:rFonts w:hint="eastAsia"/>
        </w:rPr>
        <w:t>获取相关信息。</w:t>
      </w:r>
      <w:r>
        <w:rPr>
          <w:rFonts w:hint="eastAsia"/>
        </w:rPr>
        <w:t xml:space="preserve"> </w:t>
      </w:r>
    </w:p>
    <w:p w:rsidR="004115AC" w:rsidRDefault="003243BD">
      <w:pPr>
        <w:pStyle w:val="a3"/>
        <w:spacing w:before="0" w:beforeAutospacing="0" w:after="0" w:afterAutospacing="0" w:line="360" w:lineRule="auto"/>
        <w:ind w:firstLine="420"/>
      </w:pPr>
      <w:r>
        <w:rPr>
          <w:rFonts w:hint="eastAsia"/>
        </w:rPr>
        <w:t>特此公告。</w:t>
      </w:r>
      <w:r>
        <w:rPr>
          <w:rFonts w:hint="eastAsia"/>
        </w:rPr>
        <w:t xml:space="preserve"> </w:t>
      </w:r>
    </w:p>
    <w:p w:rsidR="004115AC" w:rsidRDefault="004115AC">
      <w:pPr>
        <w:pStyle w:val="a3"/>
        <w:spacing w:before="0" w:beforeAutospacing="0" w:after="0" w:afterAutospacing="0" w:line="360" w:lineRule="auto"/>
        <w:ind w:firstLine="420"/>
      </w:pPr>
    </w:p>
    <w:p w:rsidR="004115AC" w:rsidRDefault="003243BD">
      <w:pPr>
        <w:pStyle w:val="a3"/>
        <w:spacing w:before="0" w:beforeAutospacing="0" w:after="0" w:afterAutospacing="0" w:line="360" w:lineRule="auto"/>
        <w:ind w:firstLine="420"/>
        <w:jc w:val="right"/>
      </w:pPr>
      <w:r>
        <w:rPr>
          <w:rFonts w:hint="eastAsia"/>
        </w:rPr>
        <w:t>博时基金管理有限公司</w:t>
      </w:r>
    </w:p>
    <w:p w:rsidR="004115AC" w:rsidRDefault="003243BD">
      <w:pPr>
        <w:pStyle w:val="a3"/>
        <w:spacing w:before="0" w:beforeAutospacing="0" w:after="0" w:afterAutospacing="0" w:line="360" w:lineRule="auto"/>
        <w:ind w:firstLine="420"/>
        <w:jc w:val="right"/>
      </w:pPr>
      <w:r>
        <w:t>2025</w:t>
      </w:r>
      <w:r>
        <w:t>年</w:t>
      </w:r>
      <w:r>
        <w:t>12</w:t>
      </w:r>
      <w:r>
        <w:t>月</w:t>
      </w:r>
      <w:r>
        <w:t>30</w:t>
      </w:r>
      <w:r>
        <w:t>日</w:t>
      </w:r>
    </w:p>
    <w:sectPr w:rsidR="004115AC" w:rsidSect="004115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4945"/>
    <w:rsid w:val="003243BD"/>
    <w:rsid w:val="004115AC"/>
    <w:rsid w:val="00963058"/>
    <w:rsid w:val="00F34945"/>
    <w:rsid w:val="169D4B28"/>
    <w:rsid w:val="1ECD6045"/>
    <w:rsid w:val="51DA700C"/>
    <w:rsid w:val="606210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5AC"/>
    <w:pPr>
      <w:widowControl w:val="0"/>
      <w:jc w:val="both"/>
    </w:pPr>
    <w:rPr>
      <w:kern w:val="2"/>
      <w:sz w:val="21"/>
      <w:szCs w:val="22"/>
    </w:rPr>
  </w:style>
  <w:style w:type="paragraph" w:styleId="3">
    <w:name w:val="heading 3"/>
    <w:basedOn w:val="a"/>
    <w:next w:val="a"/>
    <w:link w:val="3Char"/>
    <w:uiPriority w:val="9"/>
    <w:unhideWhenUsed/>
    <w:qFormat/>
    <w:rsid w:val="004115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115AC"/>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411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4115AC"/>
    <w:rPr>
      <w:b/>
      <w:bCs/>
    </w:rPr>
  </w:style>
  <w:style w:type="character" w:customStyle="1" w:styleId="3Char">
    <w:name w:val="标题 3 Char"/>
    <w:basedOn w:val="a0"/>
    <w:link w:val="3"/>
    <w:uiPriority w:val="9"/>
    <w:qFormat/>
    <w:rsid w:val="004115AC"/>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1291</Characters>
  <Application>Microsoft Office Word</Application>
  <DocSecurity>4</DocSecurity>
  <Lines>10</Lines>
  <Paragraphs>3</Paragraphs>
  <ScaleCrop>false</ScaleCrop>
  <Company>mycompany</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2025-12-29T16:04:00Z</dcterms:created>
  <dcterms:modified xsi:type="dcterms:W3CDTF">2025-12-29T16:04:00Z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8C9750A3B0534932A027442EB1E0CF18</vt:lpwstr>
  </property>
</Properties>
</file>