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82" w:rsidRDefault="00B25355">
      <w:pPr>
        <w:autoSpaceDE w:val="0"/>
        <w:autoSpaceDN w:val="0"/>
        <w:adjustRightInd w:val="0"/>
        <w:spacing w:line="288" w:lineRule="auto"/>
        <w:jc w:val="center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财通资管鸿商中短债债券型证券投资基金暂停大额申购、转换转入、定期定额投资业务公告</w:t>
      </w:r>
    </w:p>
    <w:p w:rsidR="00813A82" w:rsidRDefault="00B25355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公告送出日期：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30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p w:rsidR="00813A82" w:rsidRDefault="00B25355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2580"/>
        <w:gridCol w:w="1629"/>
        <w:gridCol w:w="1575"/>
        <w:gridCol w:w="1701"/>
      </w:tblGrid>
      <w:tr w:rsidR="00813A82">
        <w:tc>
          <w:tcPr>
            <w:tcW w:w="3992" w:type="dxa"/>
            <w:gridSpan w:val="2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905" w:type="dxa"/>
            <w:gridSpan w:val="3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财通资管鸿商中短债债券型证券投资基金</w:t>
            </w:r>
          </w:p>
        </w:tc>
      </w:tr>
      <w:tr w:rsidR="00813A82">
        <w:tc>
          <w:tcPr>
            <w:tcW w:w="3992" w:type="dxa"/>
            <w:gridSpan w:val="2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905" w:type="dxa"/>
            <w:gridSpan w:val="3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财通资管鸿商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中短债</w:t>
            </w:r>
          </w:p>
        </w:tc>
      </w:tr>
      <w:tr w:rsidR="00813A82">
        <w:tc>
          <w:tcPr>
            <w:tcW w:w="3992" w:type="dxa"/>
            <w:gridSpan w:val="2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905" w:type="dxa"/>
            <w:gridSpan w:val="3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014740</w:t>
            </w:r>
          </w:p>
        </w:tc>
      </w:tr>
      <w:tr w:rsidR="00813A82">
        <w:tc>
          <w:tcPr>
            <w:tcW w:w="3992" w:type="dxa"/>
            <w:gridSpan w:val="2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905" w:type="dxa"/>
            <w:gridSpan w:val="3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财通证券资产管理有限公司</w:t>
            </w:r>
          </w:p>
        </w:tc>
      </w:tr>
      <w:tr w:rsidR="00813A82">
        <w:tc>
          <w:tcPr>
            <w:tcW w:w="3992" w:type="dxa"/>
            <w:gridSpan w:val="2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905" w:type="dxa"/>
            <w:gridSpan w:val="3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《公开募集证券投资基金信息披露管理办法》、《财通资管鸿商中短债债券型证券投资基金基金合同》、《财通资管鸿商中短债债券型证券投资基金招募说明书》等。</w:t>
            </w:r>
          </w:p>
        </w:tc>
      </w:tr>
      <w:tr w:rsidR="00813A82">
        <w:tc>
          <w:tcPr>
            <w:tcW w:w="1412" w:type="dxa"/>
            <w:vMerge w:val="restart"/>
          </w:tcPr>
          <w:p w:rsidR="00813A82" w:rsidRDefault="00B25355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580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暂停大额申购（含转换转入、定期定额投资）起始日</w:t>
            </w:r>
          </w:p>
        </w:tc>
        <w:tc>
          <w:tcPr>
            <w:tcW w:w="4905" w:type="dxa"/>
            <w:gridSpan w:val="3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hAnsi="Arial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13A82">
        <w:tc>
          <w:tcPr>
            <w:tcW w:w="1412" w:type="dxa"/>
            <w:vMerge/>
          </w:tcPr>
          <w:p w:rsidR="00813A82" w:rsidRDefault="00813A82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限制申购（含转换转入、定期定额投资）金额（单位：元）</w:t>
            </w:r>
          </w:p>
        </w:tc>
        <w:tc>
          <w:tcPr>
            <w:tcW w:w="4905" w:type="dxa"/>
            <w:gridSpan w:val="3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,000.00</w:t>
            </w:r>
          </w:p>
        </w:tc>
      </w:tr>
      <w:tr w:rsidR="00813A82">
        <w:tc>
          <w:tcPr>
            <w:tcW w:w="1412" w:type="dxa"/>
            <w:vMerge/>
          </w:tcPr>
          <w:p w:rsidR="00813A82" w:rsidRDefault="00813A82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580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暂停大额申购（含转换转入、定期定额投资）的原因说明</w:t>
            </w:r>
          </w:p>
        </w:tc>
        <w:tc>
          <w:tcPr>
            <w:tcW w:w="4905" w:type="dxa"/>
            <w:gridSpan w:val="3"/>
          </w:tcPr>
          <w:p w:rsidR="00813A82" w:rsidRDefault="00B25355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为维护财通资管鸿商中短债债券型证券投资基金的稳定运作，保护基金份额持有人的利益。</w:t>
            </w:r>
          </w:p>
        </w:tc>
      </w:tr>
      <w:tr w:rsidR="00813A82">
        <w:trPr>
          <w:trHeight w:val="884"/>
        </w:trPr>
        <w:tc>
          <w:tcPr>
            <w:tcW w:w="3992" w:type="dxa"/>
            <w:gridSpan w:val="2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1629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财通资管鸿商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中短债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75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财通资管鸿商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中短债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财通资管鸿商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中短债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</w:tr>
      <w:tr w:rsidR="00813A82">
        <w:trPr>
          <w:trHeight w:val="504"/>
        </w:trPr>
        <w:tc>
          <w:tcPr>
            <w:tcW w:w="3992" w:type="dxa"/>
            <w:gridSpan w:val="2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1629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014740</w:t>
            </w:r>
          </w:p>
        </w:tc>
        <w:tc>
          <w:tcPr>
            <w:tcW w:w="1575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014741</w:t>
            </w:r>
          </w:p>
        </w:tc>
        <w:tc>
          <w:tcPr>
            <w:tcW w:w="1701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022043</w:t>
            </w:r>
          </w:p>
        </w:tc>
      </w:tr>
      <w:tr w:rsidR="00813A82">
        <w:tc>
          <w:tcPr>
            <w:tcW w:w="3992" w:type="dxa"/>
            <w:gridSpan w:val="2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该分级基金是否暂停大额申购（含转换转入、定期定额投资）</w:t>
            </w:r>
          </w:p>
        </w:tc>
        <w:tc>
          <w:tcPr>
            <w:tcW w:w="1629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575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701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813A82">
        <w:tc>
          <w:tcPr>
            <w:tcW w:w="3992" w:type="dxa"/>
            <w:gridSpan w:val="2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下属分级基金的限制申购（含转换转入、定期定额投资）金额（单位：元）</w:t>
            </w:r>
          </w:p>
        </w:tc>
        <w:tc>
          <w:tcPr>
            <w:tcW w:w="1629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,000.00</w:t>
            </w:r>
          </w:p>
        </w:tc>
        <w:tc>
          <w:tcPr>
            <w:tcW w:w="1575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,000.00</w:t>
            </w:r>
          </w:p>
        </w:tc>
        <w:tc>
          <w:tcPr>
            <w:tcW w:w="1701" w:type="dxa"/>
          </w:tcPr>
          <w:p w:rsidR="00813A82" w:rsidRDefault="00B2535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1,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0,000.00</w:t>
            </w:r>
          </w:p>
        </w:tc>
      </w:tr>
    </w:tbl>
    <w:p w:rsidR="00813A82" w:rsidRDefault="00B25355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注：</w:t>
      </w:r>
    </w:p>
    <w:p w:rsidR="00813A82" w:rsidRDefault="00B2535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Chars="-27" w:right="-57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根据法律法规和基金合同的相关规定，自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30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日起，财通证券资产管理有限公司（以下简称“本公司”）将调整财通资管鸿商中短债债券型证券投资基金（以下简称“本基金”）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类份额和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类份额在除</w:t>
      </w:r>
      <w:r>
        <w:rPr>
          <w:rFonts w:ascii="宋体" w:eastAsia="宋体" w:hAnsi="Arial" w:cs="宋体" w:hint="eastAsia"/>
          <w:kern w:val="0"/>
          <w:sz w:val="24"/>
          <w:szCs w:val="24"/>
        </w:rPr>
        <w:t>“直销渠道”以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外的其他销售机构办理的大额申购（含转换转入、定期定额投资）业务。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届时起，若单日单个基金账户单个渠道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的单笔申购（含转换转入、定期定额投资）金额超过人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lastRenderedPageBreak/>
        <w:t>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（不含）的，本公司将有权对超过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的部分予以拒绝。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若单日单个基金账户单个渠道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多笔累计申购（含转换转入、定期定额投资）金额超过人民币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的，则对申请按照申请金额从大到小排序，逐笔累加至符合不超过人民币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(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含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)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的部分及其余笔数本公司将有权予以拒绝。本基金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类份额分别单独判断。</w:t>
      </w:r>
    </w:p>
    <w:p w:rsidR="00813A82" w:rsidRDefault="00B2535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Chars="-27" w:right="-57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自</w:t>
      </w:r>
      <w:r>
        <w:rPr>
          <w:rFonts w:ascii="宋体" w:eastAsia="宋体" w:hAnsi="Arial" w:cs="宋体" w:hint="eastAsia"/>
          <w:kern w:val="0"/>
          <w:sz w:val="24"/>
          <w:szCs w:val="24"/>
        </w:rPr>
        <w:t>202</w:t>
      </w:r>
      <w:r>
        <w:rPr>
          <w:rFonts w:ascii="宋体" w:eastAsia="宋体" w:hAnsi="Arial" w:cs="宋体"/>
          <w:kern w:val="0"/>
          <w:sz w:val="24"/>
          <w:szCs w:val="24"/>
        </w:rPr>
        <w:t>5</w:t>
      </w:r>
      <w:r>
        <w:rPr>
          <w:rFonts w:ascii="宋体" w:eastAsia="宋体" w:hAnsi="Arial" w:cs="宋体" w:hint="eastAsia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31</w:t>
      </w:r>
      <w:r>
        <w:rPr>
          <w:rFonts w:ascii="宋体" w:eastAsia="宋体" w:hAnsi="Arial" w:cs="宋体" w:hint="eastAsia"/>
          <w:kern w:val="0"/>
          <w:sz w:val="24"/>
          <w:szCs w:val="24"/>
        </w:rPr>
        <w:t>日起，本公司将调整本基金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类份额和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kern w:val="0"/>
          <w:sz w:val="24"/>
          <w:szCs w:val="24"/>
        </w:rPr>
        <w:t>在“直销渠道”办理的大额申购（含转换转入、定期定额投资）业务。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届时起，若单日单个基金账户单个渠道的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单笔申购（含转换转入、定期定额投资）金额超过人民币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（不含）的，本公司将有权对超过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的部分予以拒绝。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若单日单个基金账户单个渠道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多笔累计申购（含转换转入、定期定额投资）金额超过人民币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的，则对申请按照申请金额从大到小排序，逐笔累加至符合不超过人民币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(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含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)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的部分及其余笔数本公司将有权予以拒绝。本基金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类份额分别单独判断。</w:t>
      </w:r>
    </w:p>
    <w:p w:rsidR="00813A82" w:rsidRDefault="00B2535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Chars="-27" w:right="-57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自</w:t>
      </w:r>
      <w:r>
        <w:rPr>
          <w:rFonts w:ascii="宋体" w:eastAsia="宋体" w:hAnsi="Arial" w:cs="宋体" w:hint="eastAsia"/>
          <w:kern w:val="0"/>
          <w:sz w:val="24"/>
          <w:szCs w:val="24"/>
        </w:rPr>
        <w:t>202</w:t>
      </w:r>
      <w:r>
        <w:rPr>
          <w:rFonts w:ascii="宋体" w:eastAsia="宋体" w:hAnsi="Arial" w:cs="宋体"/>
          <w:kern w:val="0"/>
          <w:sz w:val="24"/>
          <w:szCs w:val="24"/>
        </w:rPr>
        <w:t>5</w:t>
      </w:r>
      <w:r>
        <w:rPr>
          <w:rFonts w:ascii="宋体" w:eastAsia="宋体" w:hAnsi="Arial" w:cs="宋体" w:hint="eastAsia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30</w:t>
      </w:r>
      <w:r>
        <w:rPr>
          <w:rFonts w:ascii="宋体" w:eastAsia="宋体" w:hAnsi="Arial" w:cs="宋体" w:hint="eastAsia"/>
          <w:kern w:val="0"/>
          <w:sz w:val="24"/>
          <w:szCs w:val="24"/>
        </w:rPr>
        <w:t>日起，本公司将调整本基金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kern w:val="0"/>
          <w:sz w:val="24"/>
          <w:szCs w:val="24"/>
        </w:rPr>
        <w:t>在</w:t>
      </w:r>
      <w:r>
        <w:rPr>
          <w:rFonts w:ascii="宋体" w:eastAsia="宋体" w:hAnsi="Arial" w:cs="宋体" w:hint="eastAsia"/>
          <w:kern w:val="0"/>
          <w:sz w:val="24"/>
          <w:szCs w:val="24"/>
        </w:rPr>
        <w:t>除</w:t>
      </w:r>
      <w:r>
        <w:rPr>
          <w:rFonts w:ascii="宋体" w:eastAsia="宋体" w:hAnsi="Arial" w:cs="宋体" w:hint="eastAsia"/>
          <w:kern w:val="0"/>
          <w:sz w:val="24"/>
          <w:szCs w:val="24"/>
        </w:rPr>
        <w:t>“直销渠道”以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外的其他销售机构办理的大额申购</w:t>
      </w:r>
      <w:r>
        <w:rPr>
          <w:rFonts w:ascii="宋体" w:eastAsia="宋体" w:hAnsi="Arial" w:cs="宋体" w:hint="eastAsia"/>
          <w:kern w:val="0"/>
          <w:sz w:val="24"/>
          <w:szCs w:val="24"/>
        </w:rPr>
        <w:t>（含转换转入、定期定额投资）业务。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届时起，若单日单个基金账户单个渠道的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单笔申购（含转换转入、定期定额投资）金额超过人民币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（不含）的，本公司将有权对超过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的部分予以拒绝。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若单日单个基金账户单个渠道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多笔累计申购（含转换转入、定期定额投资）金额超过人民币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的，则对申请按照申请金额从大到小排序，逐笔累加至符合不超过人民币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(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含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)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的部分及其余笔数本公司将有权予以拒绝。本基金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类份额分别单独判断。</w:t>
      </w:r>
    </w:p>
    <w:p w:rsidR="00813A82" w:rsidRDefault="00B2535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Chars="-27" w:right="-57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自</w:t>
      </w:r>
      <w:r>
        <w:rPr>
          <w:rFonts w:ascii="宋体" w:eastAsia="宋体" w:hAnsi="Arial" w:cs="宋体" w:hint="eastAsia"/>
          <w:kern w:val="0"/>
          <w:sz w:val="24"/>
          <w:szCs w:val="24"/>
        </w:rPr>
        <w:t>202</w:t>
      </w:r>
      <w:r>
        <w:rPr>
          <w:rFonts w:ascii="宋体" w:eastAsia="宋体" w:hAnsi="Arial" w:cs="宋体"/>
          <w:kern w:val="0"/>
          <w:sz w:val="24"/>
          <w:szCs w:val="24"/>
        </w:rPr>
        <w:t>5</w:t>
      </w:r>
      <w:r>
        <w:rPr>
          <w:rFonts w:ascii="宋体" w:eastAsia="宋体" w:hAnsi="Arial" w:cs="宋体" w:hint="eastAsia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31</w:t>
      </w:r>
      <w:r>
        <w:rPr>
          <w:rFonts w:ascii="宋体" w:eastAsia="宋体" w:hAnsi="Arial" w:cs="宋体" w:hint="eastAsia"/>
          <w:kern w:val="0"/>
          <w:sz w:val="24"/>
          <w:szCs w:val="24"/>
        </w:rPr>
        <w:t>日起，本公司将调整本基金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kern w:val="0"/>
          <w:sz w:val="24"/>
          <w:szCs w:val="24"/>
        </w:rPr>
        <w:t>在“直销渠道”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办理的大额申购</w:t>
      </w:r>
      <w:r>
        <w:rPr>
          <w:rFonts w:ascii="宋体" w:eastAsia="宋体" w:hAnsi="Arial" w:cs="宋体" w:hint="eastAsia"/>
          <w:kern w:val="0"/>
          <w:sz w:val="24"/>
          <w:szCs w:val="24"/>
        </w:rPr>
        <w:t>（含转换转入、定期定额投资）业务。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届时起，若单日单个基金账户单个渠道的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单笔申购（含转换转入、定期定额投资）金额超过人民币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（不含）的，本公司将有权对超过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的部分予以拒绝。</w:t>
      </w:r>
      <w:r>
        <w:rPr>
          <w:rFonts w:ascii="宋体" w:hAnsi="Arial" w:cs="宋体" w:hint="eastAsia"/>
          <w:color w:val="000000"/>
          <w:kern w:val="0"/>
          <w:sz w:val="24"/>
          <w:szCs w:val="24"/>
        </w:rPr>
        <w:t>若单日单个基金账户单个渠道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多笔累计申购（含转换转入、定期定额投资）金额超过人民币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的，则对申请按照申请金额从大到小排序，逐笔累加至符合不超过人民币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(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含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)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的部分及其余笔数本公司将有权予以拒绝。本基金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类份额分别单独判断。</w:t>
      </w:r>
    </w:p>
    <w:p w:rsidR="00813A82" w:rsidRDefault="00B25355">
      <w:pPr>
        <w:autoSpaceDE w:val="0"/>
        <w:autoSpaceDN w:val="0"/>
        <w:adjustRightInd w:val="0"/>
        <w:spacing w:line="360" w:lineRule="auto"/>
        <w:ind w:rightChars="-27" w:right="-57"/>
        <w:rPr>
          <w:rFonts w:ascii="宋体" w:hAnsi="Arial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kern w:val="0"/>
          <w:sz w:val="24"/>
          <w:szCs w:val="24"/>
        </w:rPr>
        <w:lastRenderedPageBreak/>
        <w:t>（</w:t>
      </w:r>
      <w:r>
        <w:rPr>
          <w:rFonts w:ascii="宋体" w:eastAsia="宋体" w:hAnsi="Arial" w:cs="宋体" w:hint="eastAsia"/>
          <w:kern w:val="0"/>
          <w:sz w:val="24"/>
          <w:szCs w:val="24"/>
        </w:rPr>
        <w:t>5</w:t>
      </w:r>
      <w:r>
        <w:rPr>
          <w:rFonts w:ascii="宋体" w:eastAsia="宋体" w:hAnsi="Arial" w:cs="宋体" w:hint="eastAsia"/>
          <w:kern w:val="0"/>
          <w:sz w:val="24"/>
          <w:szCs w:val="24"/>
        </w:rPr>
        <w:t>）</w:t>
      </w:r>
      <w:r>
        <w:rPr>
          <w:rFonts w:ascii="宋体" w:hAnsi="Arial" w:hint="eastAsia"/>
          <w:kern w:val="0"/>
          <w:sz w:val="24"/>
          <w:szCs w:val="24"/>
        </w:rPr>
        <w:t>上述大额申购（含转换转入、定期定额投资）业务自</w:t>
      </w:r>
      <w:r>
        <w:rPr>
          <w:rFonts w:ascii="宋体" w:hAnsi="Arial"/>
          <w:kern w:val="0"/>
          <w:sz w:val="24"/>
          <w:szCs w:val="24"/>
        </w:rPr>
        <w:t>202</w:t>
      </w:r>
      <w:r>
        <w:rPr>
          <w:rFonts w:ascii="宋体" w:hAnsi="Arial" w:hint="eastAsia"/>
          <w:kern w:val="0"/>
          <w:sz w:val="24"/>
          <w:szCs w:val="24"/>
        </w:rPr>
        <w:t>6</w:t>
      </w:r>
      <w:r>
        <w:rPr>
          <w:rFonts w:ascii="宋体" w:hAnsi="Arial" w:hint="eastAsia"/>
          <w:kern w:val="0"/>
          <w:sz w:val="24"/>
          <w:szCs w:val="24"/>
        </w:rPr>
        <w:t>年</w:t>
      </w:r>
      <w:r>
        <w:rPr>
          <w:rFonts w:ascii="宋体" w:hAnsi="Arial" w:hint="eastAsia"/>
          <w:kern w:val="0"/>
          <w:sz w:val="24"/>
          <w:szCs w:val="24"/>
        </w:rPr>
        <w:t>01</w:t>
      </w:r>
      <w:r>
        <w:rPr>
          <w:rFonts w:ascii="宋体" w:hAnsi="Arial" w:hint="eastAsia"/>
          <w:kern w:val="0"/>
          <w:sz w:val="24"/>
          <w:szCs w:val="24"/>
        </w:rPr>
        <w:t>月</w:t>
      </w:r>
      <w:r>
        <w:rPr>
          <w:rFonts w:ascii="宋体" w:hAnsi="Arial"/>
          <w:kern w:val="0"/>
          <w:sz w:val="24"/>
          <w:szCs w:val="24"/>
        </w:rPr>
        <w:t>0</w:t>
      </w:r>
      <w:r>
        <w:rPr>
          <w:rFonts w:ascii="宋体" w:hAnsi="Arial" w:hint="eastAsia"/>
          <w:kern w:val="0"/>
          <w:sz w:val="24"/>
          <w:szCs w:val="24"/>
        </w:rPr>
        <w:t>5</w:t>
      </w:r>
      <w:r>
        <w:rPr>
          <w:rFonts w:ascii="宋体" w:hAnsi="Arial" w:hint="eastAsia"/>
          <w:kern w:val="0"/>
          <w:sz w:val="24"/>
          <w:szCs w:val="24"/>
        </w:rPr>
        <w:t>日起恢复。届时起，根据</w:t>
      </w:r>
      <w:r>
        <w:rPr>
          <w:rFonts w:ascii="宋体" w:hAnsi="Arial" w:hint="eastAsia"/>
          <w:kern w:val="0"/>
          <w:sz w:val="24"/>
          <w:szCs w:val="24"/>
        </w:rPr>
        <w:t>2</w:t>
      </w:r>
      <w:r>
        <w:rPr>
          <w:rFonts w:ascii="宋体" w:hAnsi="Arial"/>
          <w:kern w:val="0"/>
          <w:sz w:val="24"/>
          <w:szCs w:val="24"/>
        </w:rPr>
        <w:t>024</w:t>
      </w:r>
      <w:r>
        <w:rPr>
          <w:rFonts w:ascii="宋体" w:hAnsi="Arial" w:hint="eastAsia"/>
          <w:kern w:val="0"/>
          <w:sz w:val="24"/>
          <w:szCs w:val="24"/>
        </w:rPr>
        <w:t>年</w:t>
      </w:r>
      <w:r>
        <w:rPr>
          <w:rFonts w:ascii="宋体" w:hAnsi="Arial"/>
          <w:kern w:val="0"/>
          <w:sz w:val="24"/>
          <w:szCs w:val="24"/>
        </w:rPr>
        <w:t>11</w:t>
      </w:r>
      <w:r>
        <w:rPr>
          <w:rFonts w:ascii="宋体" w:hAnsi="Arial" w:hint="eastAsia"/>
          <w:kern w:val="0"/>
          <w:sz w:val="24"/>
          <w:szCs w:val="24"/>
        </w:rPr>
        <w:t>月</w:t>
      </w:r>
      <w:r>
        <w:rPr>
          <w:rFonts w:ascii="宋体" w:hAnsi="Arial"/>
          <w:kern w:val="0"/>
          <w:sz w:val="24"/>
          <w:szCs w:val="24"/>
        </w:rPr>
        <w:t>01</w:t>
      </w:r>
      <w:r>
        <w:rPr>
          <w:rFonts w:ascii="宋体" w:hAnsi="Arial" w:hint="eastAsia"/>
          <w:kern w:val="0"/>
          <w:sz w:val="24"/>
          <w:szCs w:val="24"/>
        </w:rPr>
        <w:t>日</w:t>
      </w:r>
      <w:r>
        <w:rPr>
          <w:rFonts w:ascii="宋体" w:hAnsi="Arial" w:hint="eastAsia"/>
          <w:kern w:val="0"/>
          <w:sz w:val="24"/>
          <w:szCs w:val="24"/>
        </w:rPr>
        <w:t>和</w:t>
      </w:r>
      <w:r>
        <w:rPr>
          <w:rFonts w:ascii="宋体" w:hAnsi="Arial" w:hint="eastAsia"/>
          <w:kern w:val="0"/>
          <w:sz w:val="24"/>
          <w:szCs w:val="24"/>
        </w:rPr>
        <w:t>2</w:t>
      </w:r>
      <w:r>
        <w:rPr>
          <w:rFonts w:ascii="宋体" w:hAnsi="Arial"/>
          <w:kern w:val="0"/>
          <w:sz w:val="24"/>
          <w:szCs w:val="24"/>
        </w:rPr>
        <w:t>02</w:t>
      </w:r>
      <w:r>
        <w:rPr>
          <w:rFonts w:ascii="宋体" w:hAnsi="Arial" w:hint="eastAsia"/>
          <w:kern w:val="0"/>
          <w:sz w:val="24"/>
          <w:szCs w:val="24"/>
        </w:rPr>
        <w:t>5</w:t>
      </w:r>
      <w:r>
        <w:rPr>
          <w:rFonts w:ascii="宋体" w:hAnsi="Arial" w:hint="eastAsia"/>
          <w:kern w:val="0"/>
          <w:sz w:val="24"/>
          <w:szCs w:val="24"/>
        </w:rPr>
        <w:t>年</w:t>
      </w:r>
      <w:r>
        <w:rPr>
          <w:rFonts w:ascii="宋体" w:hAnsi="Arial" w:hint="eastAsia"/>
          <w:kern w:val="0"/>
          <w:sz w:val="24"/>
          <w:szCs w:val="24"/>
        </w:rPr>
        <w:t>11</w:t>
      </w:r>
      <w:r>
        <w:rPr>
          <w:rFonts w:ascii="宋体" w:hAnsi="Arial" w:hint="eastAsia"/>
          <w:kern w:val="0"/>
          <w:sz w:val="24"/>
          <w:szCs w:val="24"/>
        </w:rPr>
        <w:t>月</w:t>
      </w:r>
      <w:r>
        <w:rPr>
          <w:rFonts w:ascii="宋体" w:hAnsi="Arial" w:hint="eastAsia"/>
          <w:kern w:val="0"/>
          <w:sz w:val="24"/>
          <w:szCs w:val="24"/>
        </w:rPr>
        <w:t>21</w:t>
      </w:r>
      <w:r>
        <w:rPr>
          <w:rFonts w:ascii="宋体" w:hAnsi="Arial" w:hint="eastAsia"/>
          <w:kern w:val="0"/>
          <w:sz w:val="24"/>
          <w:szCs w:val="24"/>
        </w:rPr>
        <w:t>日的公告，</w:t>
      </w:r>
      <w:r>
        <w:rPr>
          <w:rFonts w:ascii="宋体" w:eastAsia="宋体" w:hAnsi="Arial" w:cs="宋体" w:hint="eastAsia"/>
          <w:kern w:val="0"/>
          <w:sz w:val="24"/>
          <w:szCs w:val="24"/>
        </w:rPr>
        <w:t>本基金</w:t>
      </w:r>
      <w:r>
        <w:rPr>
          <w:rFonts w:ascii="宋体" w:eastAsia="宋体" w:hAnsi="Arial" w:cs="宋体" w:hint="eastAsia"/>
          <w:kern w:val="0"/>
          <w:sz w:val="24"/>
          <w:szCs w:val="24"/>
        </w:rPr>
        <w:t>A</w:t>
      </w:r>
      <w:r>
        <w:rPr>
          <w:rFonts w:ascii="宋体" w:eastAsia="宋体" w:hAnsi="Arial" w:cs="宋体" w:hint="eastAsia"/>
          <w:kern w:val="0"/>
          <w:sz w:val="24"/>
          <w:szCs w:val="24"/>
        </w:rPr>
        <w:t>类、</w:t>
      </w:r>
      <w:r>
        <w:rPr>
          <w:rFonts w:ascii="宋体" w:eastAsia="宋体" w:hAnsi="Arial" w:cs="宋体" w:hint="eastAsia"/>
          <w:kern w:val="0"/>
          <w:sz w:val="24"/>
          <w:szCs w:val="24"/>
        </w:rPr>
        <w:t>C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类份额在除“</w:t>
      </w:r>
      <w:r>
        <w:rPr>
          <w:rFonts w:ascii="宋体" w:eastAsia="宋体" w:hAnsi="Arial" w:cs="宋体" w:hint="eastAsia"/>
          <w:kern w:val="0"/>
          <w:sz w:val="24"/>
          <w:szCs w:val="24"/>
        </w:rPr>
        <w:t>浙商银行</w:t>
      </w:r>
      <w:r>
        <w:rPr>
          <w:rFonts w:ascii="宋体" w:eastAsia="宋体" w:hAnsi="Arial" w:cs="宋体" w:hint="eastAsia"/>
          <w:kern w:val="0"/>
          <w:sz w:val="24"/>
          <w:szCs w:val="24"/>
        </w:rPr>
        <w:t>股份有限公司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财通证券股份有限公司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”以外的其他渠道</w:t>
      </w:r>
      <w:r>
        <w:rPr>
          <w:rFonts w:ascii="宋体" w:eastAsia="宋体" w:hAnsi="Arial" w:cs="宋体" w:hint="eastAsia"/>
          <w:kern w:val="0"/>
          <w:sz w:val="24"/>
          <w:szCs w:val="24"/>
        </w:rPr>
        <w:t>的</w:t>
      </w:r>
      <w:r>
        <w:rPr>
          <w:rFonts w:ascii="宋体" w:eastAsia="宋体" w:hAnsi="Arial" w:cs="宋体" w:hint="eastAsia"/>
          <w:kern w:val="0"/>
          <w:sz w:val="24"/>
          <w:szCs w:val="24"/>
        </w:rPr>
        <w:t>大额申购（含转换转入、定期定额投资）业务恢复为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kern w:val="0"/>
          <w:sz w:val="24"/>
          <w:szCs w:val="24"/>
        </w:rPr>
        <w:t>万元</w:t>
      </w:r>
      <w:r>
        <w:rPr>
          <w:rFonts w:ascii="宋体" w:eastAsia="宋体" w:hAnsi="Arial" w:cs="宋体" w:hint="eastAsia"/>
          <w:kern w:val="0"/>
          <w:sz w:val="24"/>
          <w:szCs w:val="24"/>
        </w:rPr>
        <w:t>,</w:t>
      </w:r>
      <w:r>
        <w:rPr>
          <w:rFonts w:ascii="宋体" w:eastAsia="宋体" w:hAnsi="Arial" w:cs="宋体" w:hint="eastAsia"/>
          <w:kern w:val="0"/>
          <w:sz w:val="24"/>
          <w:szCs w:val="24"/>
        </w:rPr>
        <w:t>在“</w:t>
      </w:r>
      <w:r>
        <w:rPr>
          <w:rFonts w:ascii="宋体" w:eastAsia="宋体" w:hAnsi="Arial" w:cs="宋体" w:hint="eastAsia"/>
          <w:kern w:val="0"/>
          <w:sz w:val="24"/>
          <w:szCs w:val="24"/>
        </w:rPr>
        <w:t>浙商银行</w:t>
      </w:r>
      <w:r>
        <w:rPr>
          <w:rFonts w:ascii="宋体" w:eastAsia="宋体" w:hAnsi="Arial" w:cs="宋体" w:hint="eastAsia"/>
          <w:kern w:val="0"/>
          <w:sz w:val="24"/>
          <w:szCs w:val="24"/>
        </w:rPr>
        <w:t>股份有限公司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财通证券股份有限公司</w:t>
      </w:r>
      <w:r>
        <w:rPr>
          <w:rFonts w:ascii="宋体" w:eastAsia="宋体" w:hAnsi="Arial" w:cs="宋体" w:hint="eastAsia"/>
          <w:kern w:val="0"/>
          <w:sz w:val="24"/>
          <w:szCs w:val="24"/>
        </w:rPr>
        <w:t>”的大额申购（含转换转入、定期定额投资）业务恢复为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kern w:val="0"/>
          <w:sz w:val="24"/>
          <w:szCs w:val="24"/>
        </w:rPr>
        <w:t>0</w:t>
      </w:r>
      <w:r>
        <w:rPr>
          <w:rFonts w:ascii="宋体" w:eastAsia="宋体" w:hAnsi="Arial" w:cs="宋体" w:hint="eastAsia"/>
          <w:kern w:val="0"/>
          <w:sz w:val="24"/>
          <w:szCs w:val="24"/>
        </w:rPr>
        <w:t>万元</w:t>
      </w:r>
      <w:r>
        <w:rPr>
          <w:rFonts w:ascii="宋体" w:hAnsi="Arial" w:hint="eastAsia"/>
          <w:color w:val="000000"/>
          <w:kern w:val="0"/>
          <w:sz w:val="24"/>
          <w:szCs w:val="24"/>
        </w:rPr>
        <w:t>，</w:t>
      </w:r>
      <w:r>
        <w:rPr>
          <w:rFonts w:ascii="宋体" w:hAnsi="Arial" w:hint="eastAsia"/>
          <w:color w:val="000000"/>
          <w:kern w:val="0"/>
          <w:sz w:val="24"/>
          <w:szCs w:val="24"/>
        </w:rPr>
        <w:t>本基金</w:t>
      </w:r>
      <w:r>
        <w:rPr>
          <w:rFonts w:ascii="宋体" w:hAnsi="Arial" w:hint="eastAsia"/>
          <w:color w:val="000000"/>
          <w:kern w:val="0"/>
          <w:sz w:val="24"/>
          <w:szCs w:val="24"/>
        </w:rPr>
        <w:t>E</w:t>
      </w:r>
      <w:r>
        <w:rPr>
          <w:rFonts w:ascii="宋体" w:hAnsi="Arial" w:hint="eastAsia"/>
          <w:color w:val="000000"/>
          <w:kern w:val="0"/>
          <w:sz w:val="24"/>
          <w:szCs w:val="24"/>
        </w:rPr>
        <w:t>类份额的大额申购（含转换转入、定期定额投资）业务恢复为</w:t>
      </w:r>
      <w:r>
        <w:rPr>
          <w:rFonts w:ascii="宋体" w:hAnsi="Arial" w:hint="eastAsia"/>
          <w:color w:val="000000"/>
          <w:kern w:val="0"/>
          <w:sz w:val="24"/>
          <w:szCs w:val="24"/>
        </w:rPr>
        <w:t>5000</w:t>
      </w:r>
      <w:r>
        <w:rPr>
          <w:rFonts w:ascii="宋体" w:hAnsi="Arial" w:hint="eastAsia"/>
          <w:color w:val="000000"/>
          <w:kern w:val="0"/>
          <w:sz w:val="24"/>
          <w:szCs w:val="24"/>
        </w:rPr>
        <w:t>万</w:t>
      </w:r>
      <w:r>
        <w:rPr>
          <w:rFonts w:ascii="宋体" w:hAnsi="Arial" w:hint="eastAsia"/>
          <w:color w:val="000000"/>
          <w:kern w:val="0"/>
          <w:sz w:val="24"/>
          <w:szCs w:val="24"/>
        </w:rPr>
        <w:t>元（含）。</w:t>
      </w:r>
    </w:p>
    <w:p w:rsidR="00813A82" w:rsidRDefault="00B25355">
      <w:pPr>
        <w:autoSpaceDE w:val="0"/>
        <w:autoSpaceDN w:val="0"/>
        <w:adjustRightInd w:val="0"/>
        <w:spacing w:line="360" w:lineRule="auto"/>
        <w:ind w:left="17" w:rightChars="-27" w:right="-57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hAnsi="Arial" w:hint="eastAsia"/>
          <w:color w:val="000000"/>
          <w:kern w:val="0"/>
          <w:sz w:val="24"/>
          <w:szCs w:val="24"/>
        </w:rPr>
        <w:t>（</w:t>
      </w:r>
      <w:r>
        <w:rPr>
          <w:rFonts w:ascii="宋体" w:hAnsi="Arial" w:hint="eastAsia"/>
          <w:color w:val="000000"/>
          <w:kern w:val="0"/>
          <w:sz w:val="24"/>
          <w:szCs w:val="24"/>
        </w:rPr>
        <w:t>6</w:t>
      </w:r>
      <w:r>
        <w:rPr>
          <w:rFonts w:ascii="宋体" w:hAnsi="Arial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本基金暂停上述相关业务期间，本基金的赎回等业务照常办理。</w:t>
      </w:r>
    </w:p>
    <w:p w:rsidR="00813A82" w:rsidRDefault="00813A82">
      <w:pPr>
        <w:autoSpaceDE w:val="0"/>
        <w:autoSpaceDN w:val="0"/>
        <w:adjustRightInd w:val="0"/>
        <w:spacing w:line="360" w:lineRule="auto"/>
        <w:ind w:rightChars="-27" w:right="-57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813A82" w:rsidRDefault="00B25355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813A82" w:rsidRDefault="00B25355">
      <w:pPr>
        <w:autoSpaceDE w:val="0"/>
        <w:autoSpaceDN w:val="0"/>
        <w:adjustRightInd w:val="0"/>
        <w:spacing w:line="360" w:lineRule="auto"/>
        <w:ind w:left="17" w:rightChars="-27" w:right="-57" w:firstLineChars="200" w:firstLine="480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本公司提示投资者合理安排投资计划，由此给投资带来的不便，敬请谅解。投资者欲了解本基金的详细情况，请登录本基金管理人网站（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www.ctzg.com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）查阅《财通资管鸿商中短债债券型证券投资基金基金合同》和《财通资管鸿商中短债债券型证券投资基金招募说明书》等资料。投资者亦可拨打本基金管理人的全国统一客户服务电话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 xml:space="preserve">: 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400-116-7888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垂询相关事宜。</w:t>
      </w:r>
    </w:p>
    <w:p w:rsidR="00813A82" w:rsidRDefault="00813A82">
      <w:pPr>
        <w:autoSpaceDE w:val="0"/>
        <w:autoSpaceDN w:val="0"/>
        <w:adjustRightInd w:val="0"/>
        <w:spacing w:line="360" w:lineRule="auto"/>
        <w:ind w:left="17" w:rightChars="-27" w:right="-57" w:firstLineChars="200" w:firstLine="480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813A82" w:rsidRDefault="00B25355">
      <w:pPr>
        <w:autoSpaceDE w:val="0"/>
        <w:autoSpaceDN w:val="0"/>
        <w:adjustRightInd w:val="0"/>
        <w:spacing w:line="360" w:lineRule="auto"/>
        <w:ind w:left="17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风险提示</w:t>
      </w:r>
    </w:p>
    <w:p w:rsidR="00813A82" w:rsidRDefault="00B2535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承诺以诚实信用、勤勉尽责的原则管理和运用基金资产，但不保证基金一定盈利，也不保证最低收益。本公司提醒投资者，投资者投资基金前应认真阅读本基金的基金合同、招募说明书等文件。敬请投资者注意投资风险。基金的过往业绩不预示未来表现，基金管理人管理的其他基金的业绩并不构成基金业绩表现的保证。</w:t>
      </w:r>
    </w:p>
    <w:p w:rsidR="00813A82" w:rsidRDefault="00813A8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813A82" w:rsidRDefault="00B25355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特此公告。</w:t>
      </w:r>
    </w:p>
    <w:p w:rsidR="00813A82" w:rsidRDefault="00813A82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813A82" w:rsidRDefault="00B25355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财通证券资产管理有限公司</w:t>
      </w:r>
      <w:bookmarkStart w:id="0" w:name="_GoBack"/>
      <w:bookmarkEnd w:id="0"/>
    </w:p>
    <w:p w:rsidR="00813A82" w:rsidRDefault="00B25355">
      <w:pPr>
        <w:jc w:val="right"/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30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sectPr w:rsidR="00813A82" w:rsidSect="00813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C58A5"/>
    <w:multiLevelType w:val="singleLevel"/>
    <w:tmpl w:val="7FBC58A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95FF7"/>
    <w:rsid w:val="000009A1"/>
    <w:rsid w:val="00004B48"/>
    <w:rsid w:val="00006095"/>
    <w:rsid w:val="0000618C"/>
    <w:rsid w:val="000063FE"/>
    <w:rsid w:val="0000749D"/>
    <w:rsid w:val="00010D92"/>
    <w:rsid w:val="000130F6"/>
    <w:rsid w:val="000133D8"/>
    <w:rsid w:val="0001395C"/>
    <w:rsid w:val="000156FF"/>
    <w:rsid w:val="00016E14"/>
    <w:rsid w:val="0001741D"/>
    <w:rsid w:val="000220F2"/>
    <w:rsid w:val="00022261"/>
    <w:rsid w:val="00022DDD"/>
    <w:rsid w:val="00023C05"/>
    <w:rsid w:val="00023DD0"/>
    <w:rsid w:val="00027B84"/>
    <w:rsid w:val="000321C1"/>
    <w:rsid w:val="00032A6D"/>
    <w:rsid w:val="00036589"/>
    <w:rsid w:val="00037C84"/>
    <w:rsid w:val="00043957"/>
    <w:rsid w:val="000440F4"/>
    <w:rsid w:val="0004483D"/>
    <w:rsid w:val="00046D52"/>
    <w:rsid w:val="000502A2"/>
    <w:rsid w:val="000525E7"/>
    <w:rsid w:val="00052BF9"/>
    <w:rsid w:val="00052D44"/>
    <w:rsid w:val="00056996"/>
    <w:rsid w:val="00056C2B"/>
    <w:rsid w:val="0006509D"/>
    <w:rsid w:val="0006608C"/>
    <w:rsid w:val="00066608"/>
    <w:rsid w:val="00070269"/>
    <w:rsid w:val="00070F8D"/>
    <w:rsid w:val="00074F49"/>
    <w:rsid w:val="00075799"/>
    <w:rsid w:val="00076202"/>
    <w:rsid w:val="00076360"/>
    <w:rsid w:val="000768B4"/>
    <w:rsid w:val="00076FA8"/>
    <w:rsid w:val="00077156"/>
    <w:rsid w:val="00081A61"/>
    <w:rsid w:val="00081BB1"/>
    <w:rsid w:val="00082401"/>
    <w:rsid w:val="00085FE2"/>
    <w:rsid w:val="0009011B"/>
    <w:rsid w:val="000914C9"/>
    <w:rsid w:val="00093E50"/>
    <w:rsid w:val="0009402C"/>
    <w:rsid w:val="00094FBB"/>
    <w:rsid w:val="00095FF7"/>
    <w:rsid w:val="00096E03"/>
    <w:rsid w:val="000976C7"/>
    <w:rsid w:val="000A01FC"/>
    <w:rsid w:val="000A0645"/>
    <w:rsid w:val="000A0819"/>
    <w:rsid w:val="000A2591"/>
    <w:rsid w:val="000A3C0F"/>
    <w:rsid w:val="000A41C4"/>
    <w:rsid w:val="000A5767"/>
    <w:rsid w:val="000A62E1"/>
    <w:rsid w:val="000A70A7"/>
    <w:rsid w:val="000A7848"/>
    <w:rsid w:val="000B1B6F"/>
    <w:rsid w:val="000B1BEE"/>
    <w:rsid w:val="000B2089"/>
    <w:rsid w:val="000B24C1"/>
    <w:rsid w:val="000B2D51"/>
    <w:rsid w:val="000B44D5"/>
    <w:rsid w:val="000B5CC1"/>
    <w:rsid w:val="000C2D3D"/>
    <w:rsid w:val="000C3F77"/>
    <w:rsid w:val="000C4910"/>
    <w:rsid w:val="000C5E9D"/>
    <w:rsid w:val="000C72C2"/>
    <w:rsid w:val="000C7739"/>
    <w:rsid w:val="000D146E"/>
    <w:rsid w:val="000D1503"/>
    <w:rsid w:val="000D48F9"/>
    <w:rsid w:val="000E0018"/>
    <w:rsid w:val="000E01D9"/>
    <w:rsid w:val="000E0A1C"/>
    <w:rsid w:val="000E0E50"/>
    <w:rsid w:val="000E4F03"/>
    <w:rsid w:val="000E59A4"/>
    <w:rsid w:val="000F1DB4"/>
    <w:rsid w:val="000F3F41"/>
    <w:rsid w:val="000F402D"/>
    <w:rsid w:val="000F4957"/>
    <w:rsid w:val="000F5779"/>
    <w:rsid w:val="000F6A9D"/>
    <w:rsid w:val="000F6FD5"/>
    <w:rsid w:val="001018C6"/>
    <w:rsid w:val="00101A6A"/>
    <w:rsid w:val="001100DC"/>
    <w:rsid w:val="0011034F"/>
    <w:rsid w:val="001114D1"/>
    <w:rsid w:val="00114BAE"/>
    <w:rsid w:val="001152C0"/>
    <w:rsid w:val="00117AEA"/>
    <w:rsid w:val="00125281"/>
    <w:rsid w:val="0012572A"/>
    <w:rsid w:val="001319D4"/>
    <w:rsid w:val="0013434D"/>
    <w:rsid w:val="00135A14"/>
    <w:rsid w:val="001365CF"/>
    <w:rsid w:val="001365F1"/>
    <w:rsid w:val="001372D3"/>
    <w:rsid w:val="001379CB"/>
    <w:rsid w:val="00146D1D"/>
    <w:rsid w:val="001515B3"/>
    <w:rsid w:val="00154DA6"/>
    <w:rsid w:val="00157D7E"/>
    <w:rsid w:val="00157F86"/>
    <w:rsid w:val="00160358"/>
    <w:rsid w:val="001609E2"/>
    <w:rsid w:val="00162FE8"/>
    <w:rsid w:val="00164FE7"/>
    <w:rsid w:val="001651BC"/>
    <w:rsid w:val="00165A79"/>
    <w:rsid w:val="00166E41"/>
    <w:rsid w:val="00170194"/>
    <w:rsid w:val="00170B30"/>
    <w:rsid w:val="00170C04"/>
    <w:rsid w:val="00170F4E"/>
    <w:rsid w:val="00172207"/>
    <w:rsid w:val="0017242D"/>
    <w:rsid w:val="0017262B"/>
    <w:rsid w:val="00173EDD"/>
    <w:rsid w:val="0017407B"/>
    <w:rsid w:val="00174DE1"/>
    <w:rsid w:val="00175DD9"/>
    <w:rsid w:val="001769D5"/>
    <w:rsid w:val="00180258"/>
    <w:rsid w:val="00180B7D"/>
    <w:rsid w:val="001811BF"/>
    <w:rsid w:val="001819FE"/>
    <w:rsid w:val="001823A9"/>
    <w:rsid w:val="00182953"/>
    <w:rsid w:val="00184758"/>
    <w:rsid w:val="001856A3"/>
    <w:rsid w:val="00186F5C"/>
    <w:rsid w:val="0018772F"/>
    <w:rsid w:val="00193973"/>
    <w:rsid w:val="00193F2C"/>
    <w:rsid w:val="001A2341"/>
    <w:rsid w:val="001A3929"/>
    <w:rsid w:val="001A3B85"/>
    <w:rsid w:val="001B05CE"/>
    <w:rsid w:val="001B10AF"/>
    <w:rsid w:val="001B13D7"/>
    <w:rsid w:val="001B4D9F"/>
    <w:rsid w:val="001B592B"/>
    <w:rsid w:val="001C0BB3"/>
    <w:rsid w:val="001C140F"/>
    <w:rsid w:val="001C3D2A"/>
    <w:rsid w:val="001C5796"/>
    <w:rsid w:val="001C70F9"/>
    <w:rsid w:val="001D0839"/>
    <w:rsid w:val="001E1545"/>
    <w:rsid w:val="001E2611"/>
    <w:rsid w:val="001E41C6"/>
    <w:rsid w:val="001F1E47"/>
    <w:rsid w:val="001F1FEC"/>
    <w:rsid w:val="001F2D8B"/>
    <w:rsid w:val="001F3049"/>
    <w:rsid w:val="001F696B"/>
    <w:rsid w:val="00200B1B"/>
    <w:rsid w:val="00203D6C"/>
    <w:rsid w:val="002064CF"/>
    <w:rsid w:val="00206CD0"/>
    <w:rsid w:val="00212414"/>
    <w:rsid w:val="002125D8"/>
    <w:rsid w:val="002128CC"/>
    <w:rsid w:val="00213C87"/>
    <w:rsid w:val="00214A3A"/>
    <w:rsid w:val="002156B3"/>
    <w:rsid w:val="00216136"/>
    <w:rsid w:val="002167C8"/>
    <w:rsid w:val="00220445"/>
    <w:rsid w:val="00221718"/>
    <w:rsid w:val="00222172"/>
    <w:rsid w:val="00223066"/>
    <w:rsid w:val="002234E6"/>
    <w:rsid w:val="0022425F"/>
    <w:rsid w:val="002247E4"/>
    <w:rsid w:val="0022549E"/>
    <w:rsid w:val="00226CCE"/>
    <w:rsid w:val="0022759C"/>
    <w:rsid w:val="00230946"/>
    <w:rsid w:val="0023169F"/>
    <w:rsid w:val="00232436"/>
    <w:rsid w:val="002344E5"/>
    <w:rsid w:val="00235A9A"/>
    <w:rsid w:val="00236686"/>
    <w:rsid w:val="00237C8D"/>
    <w:rsid w:val="00237D3F"/>
    <w:rsid w:val="00240E8C"/>
    <w:rsid w:val="002437E8"/>
    <w:rsid w:val="0024429C"/>
    <w:rsid w:val="002467C4"/>
    <w:rsid w:val="00247A15"/>
    <w:rsid w:val="00247DE0"/>
    <w:rsid w:val="00251079"/>
    <w:rsid w:val="00251270"/>
    <w:rsid w:val="0025127E"/>
    <w:rsid w:val="00253AC8"/>
    <w:rsid w:val="00254BDA"/>
    <w:rsid w:val="00255407"/>
    <w:rsid w:val="002564A1"/>
    <w:rsid w:val="002567FB"/>
    <w:rsid w:val="00257930"/>
    <w:rsid w:val="00260E86"/>
    <w:rsid w:val="00261252"/>
    <w:rsid w:val="002616B9"/>
    <w:rsid w:val="00261E6E"/>
    <w:rsid w:val="00263D95"/>
    <w:rsid w:val="00264E68"/>
    <w:rsid w:val="00265BC8"/>
    <w:rsid w:val="002669C2"/>
    <w:rsid w:val="00267E75"/>
    <w:rsid w:val="002712F9"/>
    <w:rsid w:val="0027216D"/>
    <w:rsid w:val="0027272D"/>
    <w:rsid w:val="00273831"/>
    <w:rsid w:val="0027399D"/>
    <w:rsid w:val="00276A15"/>
    <w:rsid w:val="0027724A"/>
    <w:rsid w:val="00282133"/>
    <w:rsid w:val="00283DC6"/>
    <w:rsid w:val="00284E9D"/>
    <w:rsid w:val="00285430"/>
    <w:rsid w:val="002855C3"/>
    <w:rsid w:val="00285911"/>
    <w:rsid w:val="00290A08"/>
    <w:rsid w:val="00290FBF"/>
    <w:rsid w:val="0029168B"/>
    <w:rsid w:val="00292E5A"/>
    <w:rsid w:val="00294CF2"/>
    <w:rsid w:val="00295E0A"/>
    <w:rsid w:val="002A0CF7"/>
    <w:rsid w:val="002A4EE5"/>
    <w:rsid w:val="002A532B"/>
    <w:rsid w:val="002A64DE"/>
    <w:rsid w:val="002B208C"/>
    <w:rsid w:val="002B2893"/>
    <w:rsid w:val="002B2DB0"/>
    <w:rsid w:val="002B712D"/>
    <w:rsid w:val="002B7837"/>
    <w:rsid w:val="002B7E46"/>
    <w:rsid w:val="002C080E"/>
    <w:rsid w:val="002C2DF6"/>
    <w:rsid w:val="002C342E"/>
    <w:rsid w:val="002C57A0"/>
    <w:rsid w:val="002D01F4"/>
    <w:rsid w:val="002D031A"/>
    <w:rsid w:val="002D191C"/>
    <w:rsid w:val="002D373E"/>
    <w:rsid w:val="002D452B"/>
    <w:rsid w:val="002D5319"/>
    <w:rsid w:val="002D598D"/>
    <w:rsid w:val="002D6449"/>
    <w:rsid w:val="002D7D04"/>
    <w:rsid w:val="002E2ADC"/>
    <w:rsid w:val="002E433F"/>
    <w:rsid w:val="002E44FB"/>
    <w:rsid w:val="002E57F7"/>
    <w:rsid w:val="002E6AD0"/>
    <w:rsid w:val="002E762C"/>
    <w:rsid w:val="002F2022"/>
    <w:rsid w:val="002F246F"/>
    <w:rsid w:val="002F2BB3"/>
    <w:rsid w:val="002F34E0"/>
    <w:rsid w:val="002F3DB5"/>
    <w:rsid w:val="002F4678"/>
    <w:rsid w:val="002F59D1"/>
    <w:rsid w:val="002F7AC0"/>
    <w:rsid w:val="003007A3"/>
    <w:rsid w:val="00300AB0"/>
    <w:rsid w:val="003014D7"/>
    <w:rsid w:val="00302473"/>
    <w:rsid w:val="00303E40"/>
    <w:rsid w:val="00305CB5"/>
    <w:rsid w:val="00307793"/>
    <w:rsid w:val="00310090"/>
    <w:rsid w:val="00312CD8"/>
    <w:rsid w:val="003139A4"/>
    <w:rsid w:val="00320A1E"/>
    <w:rsid w:val="00320BD4"/>
    <w:rsid w:val="003232A3"/>
    <w:rsid w:val="00325D6B"/>
    <w:rsid w:val="00331385"/>
    <w:rsid w:val="003318E0"/>
    <w:rsid w:val="00332581"/>
    <w:rsid w:val="003345F1"/>
    <w:rsid w:val="00335062"/>
    <w:rsid w:val="00335EAA"/>
    <w:rsid w:val="00337380"/>
    <w:rsid w:val="00337B34"/>
    <w:rsid w:val="003427A7"/>
    <w:rsid w:val="00343F60"/>
    <w:rsid w:val="00352472"/>
    <w:rsid w:val="00353C48"/>
    <w:rsid w:val="003542F7"/>
    <w:rsid w:val="00355229"/>
    <w:rsid w:val="00356110"/>
    <w:rsid w:val="00357AB3"/>
    <w:rsid w:val="00360969"/>
    <w:rsid w:val="00363852"/>
    <w:rsid w:val="003649CC"/>
    <w:rsid w:val="00365F26"/>
    <w:rsid w:val="003660A4"/>
    <w:rsid w:val="003701B3"/>
    <w:rsid w:val="003702F1"/>
    <w:rsid w:val="0037136C"/>
    <w:rsid w:val="00373C39"/>
    <w:rsid w:val="003745D5"/>
    <w:rsid w:val="00375551"/>
    <w:rsid w:val="0037749E"/>
    <w:rsid w:val="00381F85"/>
    <w:rsid w:val="00382E25"/>
    <w:rsid w:val="003849C2"/>
    <w:rsid w:val="00384B79"/>
    <w:rsid w:val="003851F3"/>
    <w:rsid w:val="00385F95"/>
    <w:rsid w:val="00390180"/>
    <w:rsid w:val="003906E5"/>
    <w:rsid w:val="00390EA9"/>
    <w:rsid w:val="00392EC6"/>
    <w:rsid w:val="00393B87"/>
    <w:rsid w:val="00394276"/>
    <w:rsid w:val="003A19F3"/>
    <w:rsid w:val="003A1BD7"/>
    <w:rsid w:val="003A2546"/>
    <w:rsid w:val="003A25C9"/>
    <w:rsid w:val="003A29C8"/>
    <w:rsid w:val="003A589E"/>
    <w:rsid w:val="003A67D0"/>
    <w:rsid w:val="003B002C"/>
    <w:rsid w:val="003B09A0"/>
    <w:rsid w:val="003B0CDC"/>
    <w:rsid w:val="003C044F"/>
    <w:rsid w:val="003C0901"/>
    <w:rsid w:val="003C3498"/>
    <w:rsid w:val="003C4F4E"/>
    <w:rsid w:val="003C5DA5"/>
    <w:rsid w:val="003D4E44"/>
    <w:rsid w:val="003D7D6E"/>
    <w:rsid w:val="003E16B3"/>
    <w:rsid w:val="003E2484"/>
    <w:rsid w:val="003E39CC"/>
    <w:rsid w:val="003E51E0"/>
    <w:rsid w:val="003E5545"/>
    <w:rsid w:val="003E5945"/>
    <w:rsid w:val="003E638F"/>
    <w:rsid w:val="003F06A7"/>
    <w:rsid w:val="003F0A9A"/>
    <w:rsid w:val="003F3CFE"/>
    <w:rsid w:val="003F4DAA"/>
    <w:rsid w:val="003F5D29"/>
    <w:rsid w:val="003F5FBF"/>
    <w:rsid w:val="003F65C5"/>
    <w:rsid w:val="003F76C3"/>
    <w:rsid w:val="00400E63"/>
    <w:rsid w:val="004035B0"/>
    <w:rsid w:val="00410A7B"/>
    <w:rsid w:val="00411796"/>
    <w:rsid w:val="004121A7"/>
    <w:rsid w:val="00414C1D"/>
    <w:rsid w:val="00416442"/>
    <w:rsid w:val="00416962"/>
    <w:rsid w:val="00420114"/>
    <w:rsid w:val="004262DB"/>
    <w:rsid w:val="00430571"/>
    <w:rsid w:val="00430C76"/>
    <w:rsid w:val="0043166B"/>
    <w:rsid w:val="00431FC7"/>
    <w:rsid w:val="00432568"/>
    <w:rsid w:val="0043268E"/>
    <w:rsid w:val="00432B64"/>
    <w:rsid w:val="0043314C"/>
    <w:rsid w:val="00435801"/>
    <w:rsid w:val="004360DF"/>
    <w:rsid w:val="00437741"/>
    <w:rsid w:val="00437E81"/>
    <w:rsid w:val="00440C42"/>
    <w:rsid w:val="004421A1"/>
    <w:rsid w:val="004427CF"/>
    <w:rsid w:val="004430A6"/>
    <w:rsid w:val="00443811"/>
    <w:rsid w:val="00443844"/>
    <w:rsid w:val="00444743"/>
    <w:rsid w:val="00444FDC"/>
    <w:rsid w:val="004454E1"/>
    <w:rsid w:val="004459C5"/>
    <w:rsid w:val="004468DB"/>
    <w:rsid w:val="00447064"/>
    <w:rsid w:val="004476FB"/>
    <w:rsid w:val="0045178C"/>
    <w:rsid w:val="0045183D"/>
    <w:rsid w:val="00451BF0"/>
    <w:rsid w:val="004530CF"/>
    <w:rsid w:val="00455CC1"/>
    <w:rsid w:val="0046008C"/>
    <w:rsid w:val="00460927"/>
    <w:rsid w:val="0046100D"/>
    <w:rsid w:val="00461807"/>
    <w:rsid w:val="004628F6"/>
    <w:rsid w:val="004641BB"/>
    <w:rsid w:val="00465580"/>
    <w:rsid w:val="00465D71"/>
    <w:rsid w:val="0046683F"/>
    <w:rsid w:val="004668FD"/>
    <w:rsid w:val="0047224C"/>
    <w:rsid w:val="0047279E"/>
    <w:rsid w:val="004732C9"/>
    <w:rsid w:val="004743CC"/>
    <w:rsid w:val="004750F2"/>
    <w:rsid w:val="004803C1"/>
    <w:rsid w:val="0048193C"/>
    <w:rsid w:val="004842A7"/>
    <w:rsid w:val="00484995"/>
    <w:rsid w:val="00486995"/>
    <w:rsid w:val="00490BA3"/>
    <w:rsid w:val="004944FC"/>
    <w:rsid w:val="00496084"/>
    <w:rsid w:val="004A0320"/>
    <w:rsid w:val="004A10F1"/>
    <w:rsid w:val="004A2731"/>
    <w:rsid w:val="004A3734"/>
    <w:rsid w:val="004A5BB1"/>
    <w:rsid w:val="004A770D"/>
    <w:rsid w:val="004B02F4"/>
    <w:rsid w:val="004B0ED4"/>
    <w:rsid w:val="004B161E"/>
    <w:rsid w:val="004B3061"/>
    <w:rsid w:val="004B3C71"/>
    <w:rsid w:val="004B6A6C"/>
    <w:rsid w:val="004B76BE"/>
    <w:rsid w:val="004C2C63"/>
    <w:rsid w:val="004C3ACF"/>
    <w:rsid w:val="004C44FA"/>
    <w:rsid w:val="004C7183"/>
    <w:rsid w:val="004D136C"/>
    <w:rsid w:val="004D2DE4"/>
    <w:rsid w:val="004D3E31"/>
    <w:rsid w:val="004D4EC3"/>
    <w:rsid w:val="004D6C68"/>
    <w:rsid w:val="004E20F2"/>
    <w:rsid w:val="004E291D"/>
    <w:rsid w:val="004E523B"/>
    <w:rsid w:val="004E5447"/>
    <w:rsid w:val="004E6D60"/>
    <w:rsid w:val="004E7B89"/>
    <w:rsid w:val="004F0718"/>
    <w:rsid w:val="004F15CD"/>
    <w:rsid w:val="004F3604"/>
    <w:rsid w:val="004F3E54"/>
    <w:rsid w:val="004F51CD"/>
    <w:rsid w:val="004F62BB"/>
    <w:rsid w:val="004F644A"/>
    <w:rsid w:val="004F6F98"/>
    <w:rsid w:val="004F7274"/>
    <w:rsid w:val="00501E9B"/>
    <w:rsid w:val="00503313"/>
    <w:rsid w:val="0050355A"/>
    <w:rsid w:val="005052E9"/>
    <w:rsid w:val="00506160"/>
    <w:rsid w:val="00506D32"/>
    <w:rsid w:val="005075B1"/>
    <w:rsid w:val="00511651"/>
    <w:rsid w:val="005131B1"/>
    <w:rsid w:val="00513331"/>
    <w:rsid w:val="0051396A"/>
    <w:rsid w:val="00515C82"/>
    <w:rsid w:val="005177BD"/>
    <w:rsid w:val="00530F57"/>
    <w:rsid w:val="00533D91"/>
    <w:rsid w:val="00534208"/>
    <w:rsid w:val="00535420"/>
    <w:rsid w:val="00535F14"/>
    <w:rsid w:val="00536507"/>
    <w:rsid w:val="00537C64"/>
    <w:rsid w:val="005402FA"/>
    <w:rsid w:val="00542E35"/>
    <w:rsid w:val="005442C5"/>
    <w:rsid w:val="00546985"/>
    <w:rsid w:val="005472C7"/>
    <w:rsid w:val="00552107"/>
    <w:rsid w:val="00552EE7"/>
    <w:rsid w:val="005544AD"/>
    <w:rsid w:val="00556203"/>
    <w:rsid w:val="00563379"/>
    <w:rsid w:val="005652EF"/>
    <w:rsid w:val="0056573B"/>
    <w:rsid w:val="00565794"/>
    <w:rsid w:val="0056718F"/>
    <w:rsid w:val="005709E4"/>
    <w:rsid w:val="005722DB"/>
    <w:rsid w:val="005745DE"/>
    <w:rsid w:val="0057619A"/>
    <w:rsid w:val="005764CE"/>
    <w:rsid w:val="00580F56"/>
    <w:rsid w:val="0058407D"/>
    <w:rsid w:val="0058480D"/>
    <w:rsid w:val="00584905"/>
    <w:rsid w:val="00585F7A"/>
    <w:rsid w:val="005875F8"/>
    <w:rsid w:val="005876CF"/>
    <w:rsid w:val="005915C2"/>
    <w:rsid w:val="005922DE"/>
    <w:rsid w:val="00592589"/>
    <w:rsid w:val="0059475E"/>
    <w:rsid w:val="005949E8"/>
    <w:rsid w:val="005949FF"/>
    <w:rsid w:val="005958B2"/>
    <w:rsid w:val="0059672F"/>
    <w:rsid w:val="00596B64"/>
    <w:rsid w:val="00597420"/>
    <w:rsid w:val="00597ED5"/>
    <w:rsid w:val="005A04A4"/>
    <w:rsid w:val="005A1CF4"/>
    <w:rsid w:val="005A2C01"/>
    <w:rsid w:val="005A337F"/>
    <w:rsid w:val="005A76A1"/>
    <w:rsid w:val="005B1D7A"/>
    <w:rsid w:val="005B2E44"/>
    <w:rsid w:val="005B3FE3"/>
    <w:rsid w:val="005B7179"/>
    <w:rsid w:val="005B74C3"/>
    <w:rsid w:val="005B7CE9"/>
    <w:rsid w:val="005C123E"/>
    <w:rsid w:val="005C1E63"/>
    <w:rsid w:val="005C297D"/>
    <w:rsid w:val="005C31C5"/>
    <w:rsid w:val="005C4548"/>
    <w:rsid w:val="005C4D03"/>
    <w:rsid w:val="005C5C58"/>
    <w:rsid w:val="005C65A0"/>
    <w:rsid w:val="005D11F8"/>
    <w:rsid w:val="005D1DC7"/>
    <w:rsid w:val="005D44A7"/>
    <w:rsid w:val="005D6CA0"/>
    <w:rsid w:val="005D6E94"/>
    <w:rsid w:val="005E0596"/>
    <w:rsid w:val="005E346E"/>
    <w:rsid w:val="005E4CDD"/>
    <w:rsid w:val="005E6C34"/>
    <w:rsid w:val="005E7848"/>
    <w:rsid w:val="005F00AD"/>
    <w:rsid w:val="005F168F"/>
    <w:rsid w:val="005F4087"/>
    <w:rsid w:val="005F4793"/>
    <w:rsid w:val="005F4D68"/>
    <w:rsid w:val="005F60E7"/>
    <w:rsid w:val="005F6E02"/>
    <w:rsid w:val="005F7712"/>
    <w:rsid w:val="00601373"/>
    <w:rsid w:val="0060162C"/>
    <w:rsid w:val="006035BC"/>
    <w:rsid w:val="006063C8"/>
    <w:rsid w:val="00606654"/>
    <w:rsid w:val="0061254B"/>
    <w:rsid w:val="00612B87"/>
    <w:rsid w:val="00613F2D"/>
    <w:rsid w:val="00614E6F"/>
    <w:rsid w:val="0061505A"/>
    <w:rsid w:val="00616F06"/>
    <w:rsid w:val="00617BF8"/>
    <w:rsid w:val="006210BC"/>
    <w:rsid w:val="00621133"/>
    <w:rsid w:val="006226EF"/>
    <w:rsid w:val="0062497D"/>
    <w:rsid w:val="006259FE"/>
    <w:rsid w:val="00631577"/>
    <w:rsid w:val="0063213B"/>
    <w:rsid w:val="0063278A"/>
    <w:rsid w:val="00632915"/>
    <w:rsid w:val="00633508"/>
    <w:rsid w:val="00633BE8"/>
    <w:rsid w:val="0064020F"/>
    <w:rsid w:val="00642632"/>
    <w:rsid w:val="00643C5A"/>
    <w:rsid w:val="00644B29"/>
    <w:rsid w:val="00645A0C"/>
    <w:rsid w:val="00646EB6"/>
    <w:rsid w:val="00647E5F"/>
    <w:rsid w:val="0065022F"/>
    <w:rsid w:val="00651135"/>
    <w:rsid w:val="00651FBB"/>
    <w:rsid w:val="00655E56"/>
    <w:rsid w:val="00656488"/>
    <w:rsid w:val="0066004C"/>
    <w:rsid w:val="00660AAD"/>
    <w:rsid w:val="006634D9"/>
    <w:rsid w:val="006643BE"/>
    <w:rsid w:val="00664D21"/>
    <w:rsid w:val="00667DE4"/>
    <w:rsid w:val="0067012C"/>
    <w:rsid w:val="00670639"/>
    <w:rsid w:val="006714A9"/>
    <w:rsid w:val="00671D2D"/>
    <w:rsid w:val="00673908"/>
    <w:rsid w:val="00674D76"/>
    <w:rsid w:val="00675F34"/>
    <w:rsid w:val="00677781"/>
    <w:rsid w:val="00677795"/>
    <w:rsid w:val="00677C66"/>
    <w:rsid w:val="00680583"/>
    <w:rsid w:val="00680C5F"/>
    <w:rsid w:val="00680F94"/>
    <w:rsid w:val="0068345D"/>
    <w:rsid w:val="00684E2C"/>
    <w:rsid w:val="00687691"/>
    <w:rsid w:val="00690ABF"/>
    <w:rsid w:val="006927D7"/>
    <w:rsid w:val="00697243"/>
    <w:rsid w:val="006A0ADD"/>
    <w:rsid w:val="006A0DD9"/>
    <w:rsid w:val="006A3BFE"/>
    <w:rsid w:val="006A3F3A"/>
    <w:rsid w:val="006A41B0"/>
    <w:rsid w:val="006A4B22"/>
    <w:rsid w:val="006A5270"/>
    <w:rsid w:val="006A5DFE"/>
    <w:rsid w:val="006B0107"/>
    <w:rsid w:val="006B1618"/>
    <w:rsid w:val="006B220E"/>
    <w:rsid w:val="006B3644"/>
    <w:rsid w:val="006B722F"/>
    <w:rsid w:val="006C0D11"/>
    <w:rsid w:val="006C144B"/>
    <w:rsid w:val="006C5642"/>
    <w:rsid w:val="006C6107"/>
    <w:rsid w:val="006D0249"/>
    <w:rsid w:val="006D0B5B"/>
    <w:rsid w:val="006D1BB0"/>
    <w:rsid w:val="006D41B6"/>
    <w:rsid w:val="006D52FC"/>
    <w:rsid w:val="006D6454"/>
    <w:rsid w:val="006D649A"/>
    <w:rsid w:val="006E1AE0"/>
    <w:rsid w:val="006E1D69"/>
    <w:rsid w:val="006E1E47"/>
    <w:rsid w:val="006E29A5"/>
    <w:rsid w:val="006E4946"/>
    <w:rsid w:val="006E4F94"/>
    <w:rsid w:val="006E6995"/>
    <w:rsid w:val="006F12E4"/>
    <w:rsid w:val="006F484C"/>
    <w:rsid w:val="006F5FE2"/>
    <w:rsid w:val="006F6F76"/>
    <w:rsid w:val="007001BF"/>
    <w:rsid w:val="00702F1C"/>
    <w:rsid w:val="00703795"/>
    <w:rsid w:val="00703E8A"/>
    <w:rsid w:val="00705E56"/>
    <w:rsid w:val="00711376"/>
    <w:rsid w:val="00711E4F"/>
    <w:rsid w:val="0071239E"/>
    <w:rsid w:val="007169C6"/>
    <w:rsid w:val="007170B3"/>
    <w:rsid w:val="00717585"/>
    <w:rsid w:val="0071795E"/>
    <w:rsid w:val="00720B9D"/>
    <w:rsid w:val="00720DB5"/>
    <w:rsid w:val="0072248B"/>
    <w:rsid w:val="00724907"/>
    <w:rsid w:val="00724E8E"/>
    <w:rsid w:val="00725DBC"/>
    <w:rsid w:val="007308A6"/>
    <w:rsid w:val="00731204"/>
    <w:rsid w:val="00732528"/>
    <w:rsid w:val="00733A36"/>
    <w:rsid w:val="007352D8"/>
    <w:rsid w:val="00735A55"/>
    <w:rsid w:val="0073700C"/>
    <w:rsid w:val="00737A4D"/>
    <w:rsid w:val="0074090F"/>
    <w:rsid w:val="007433F9"/>
    <w:rsid w:val="007436E6"/>
    <w:rsid w:val="00744963"/>
    <w:rsid w:val="007449FF"/>
    <w:rsid w:val="0074613D"/>
    <w:rsid w:val="007468CE"/>
    <w:rsid w:val="0075020A"/>
    <w:rsid w:val="0075206B"/>
    <w:rsid w:val="00752E5D"/>
    <w:rsid w:val="007546AB"/>
    <w:rsid w:val="00755EC6"/>
    <w:rsid w:val="007602A0"/>
    <w:rsid w:val="00761212"/>
    <w:rsid w:val="007658C2"/>
    <w:rsid w:val="00770856"/>
    <w:rsid w:val="0077168F"/>
    <w:rsid w:val="00772ADD"/>
    <w:rsid w:val="00773E9E"/>
    <w:rsid w:val="007741FD"/>
    <w:rsid w:val="00776455"/>
    <w:rsid w:val="0077739C"/>
    <w:rsid w:val="00780E79"/>
    <w:rsid w:val="007836A7"/>
    <w:rsid w:val="00783F09"/>
    <w:rsid w:val="00790404"/>
    <w:rsid w:val="00792C9C"/>
    <w:rsid w:val="00793D61"/>
    <w:rsid w:val="00794FD8"/>
    <w:rsid w:val="00796D68"/>
    <w:rsid w:val="00797D58"/>
    <w:rsid w:val="007A0CFC"/>
    <w:rsid w:val="007A3702"/>
    <w:rsid w:val="007A4649"/>
    <w:rsid w:val="007A53F9"/>
    <w:rsid w:val="007A7FA9"/>
    <w:rsid w:val="007B133E"/>
    <w:rsid w:val="007B1ADB"/>
    <w:rsid w:val="007B4A6F"/>
    <w:rsid w:val="007B4AA5"/>
    <w:rsid w:val="007C356F"/>
    <w:rsid w:val="007C48AA"/>
    <w:rsid w:val="007C622E"/>
    <w:rsid w:val="007C67FC"/>
    <w:rsid w:val="007C74C9"/>
    <w:rsid w:val="007D453C"/>
    <w:rsid w:val="007D4DA1"/>
    <w:rsid w:val="007D5696"/>
    <w:rsid w:val="007D5FEC"/>
    <w:rsid w:val="007D6409"/>
    <w:rsid w:val="007D7844"/>
    <w:rsid w:val="007D7A19"/>
    <w:rsid w:val="007D7FE8"/>
    <w:rsid w:val="007E0A22"/>
    <w:rsid w:val="007E1F23"/>
    <w:rsid w:val="007E276D"/>
    <w:rsid w:val="007E3315"/>
    <w:rsid w:val="007E4FEB"/>
    <w:rsid w:val="007E627B"/>
    <w:rsid w:val="007E6957"/>
    <w:rsid w:val="007E736F"/>
    <w:rsid w:val="007F3AAF"/>
    <w:rsid w:val="007F4054"/>
    <w:rsid w:val="007F624F"/>
    <w:rsid w:val="00801D46"/>
    <w:rsid w:val="00806D85"/>
    <w:rsid w:val="00807A6F"/>
    <w:rsid w:val="0081080A"/>
    <w:rsid w:val="0081130B"/>
    <w:rsid w:val="0081239A"/>
    <w:rsid w:val="00813A7B"/>
    <w:rsid w:val="00813A82"/>
    <w:rsid w:val="00813CF6"/>
    <w:rsid w:val="00815EE8"/>
    <w:rsid w:val="008166CD"/>
    <w:rsid w:val="00820D5F"/>
    <w:rsid w:val="00823241"/>
    <w:rsid w:val="00823C4A"/>
    <w:rsid w:val="008310F4"/>
    <w:rsid w:val="008312DD"/>
    <w:rsid w:val="00832048"/>
    <w:rsid w:val="00834367"/>
    <w:rsid w:val="00841732"/>
    <w:rsid w:val="00841D94"/>
    <w:rsid w:val="00841E63"/>
    <w:rsid w:val="00843437"/>
    <w:rsid w:val="00843D08"/>
    <w:rsid w:val="0084493A"/>
    <w:rsid w:val="00844AC4"/>
    <w:rsid w:val="00844EE5"/>
    <w:rsid w:val="008525AD"/>
    <w:rsid w:val="00854397"/>
    <w:rsid w:val="00854B62"/>
    <w:rsid w:val="008554CA"/>
    <w:rsid w:val="0085639B"/>
    <w:rsid w:val="0086041F"/>
    <w:rsid w:val="00860648"/>
    <w:rsid w:val="00861156"/>
    <w:rsid w:val="0086228D"/>
    <w:rsid w:val="00862B3D"/>
    <w:rsid w:val="00862DEB"/>
    <w:rsid w:val="0086475B"/>
    <w:rsid w:val="00865159"/>
    <w:rsid w:val="0086570A"/>
    <w:rsid w:val="00866AEA"/>
    <w:rsid w:val="008728B7"/>
    <w:rsid w:val="0087299B"/>
    <w:rsid w:val="00873F53"/>
    <w:rsid w:val="00874BFD"/>
    <w:rsid w:val="0087547E"/>
    <w:rsid w:val="00876F8E"/>
    <w:rsid w:val="00876FDA"/>
    <w:rsid w:val="00880692"/>
    <w:rsid w:val="008827AB"/>
    <w:rsid w:val="00885BAB"/>
    <w:rsid w:val="008877CF"/>
    <w:rsid w:val="00887B38"/>
    <w:rsid w:val="00887C73"/>
    <w:rsid w:val="00895F7D"/>
    <w:rsid w:val="00896A67"/>
    <w:rsid w:val="00897AB6"/>
    <w:rsid w:val="00897AE9"/>
    <w:rsid w:val="008A06D9"/>
    <w:rsid w:val="008A0EEE"/>
    <w:rsid w:val="008A2FDE"/>
    <w:rsid w:val="008A39F0"/>
    <w:rsid w:val="008A3C9C"/>
    <w:rsid w:val="008A3FDB"/>
    <w:rsid w:val="008A405C"/>
    <w:rsid w:val="008A6FFF"/>
    <w:rsid w:val="008A77D5"/>
    <w:rsid w:val="008B060E"/>
    <w:rsid w:val="008B3056"/>
    <w:rsid w:val="008B3491"/>
    <w:rsid w:val="008B68E3"/>
    <w:rsid w:val="008C4BDE"/>
    <w:rsid w:val="008D5B62"/>
    <w:rsid w:val="008D5D92"/>
    <w:rsid w:val="008D6FEE"/>
    <w:rsid w:val="008D738F"/>
    <w:rsid w:val="008E0A15"/>
    <w:rsid w:val="008E1241"/>
    <w:rsid w:val="008E33BD"/>
    <w:rsid w:val="008F102C"/>
    <w:rsid w:val="008F1E33"/>
    <w:rsid w:val="008F219F"/>
    <w:rsid w:val="008F2E07"/>
    <w:rsid w:val="008F335C"/>
    <w:rsid w:val="008F6C70"/>
    <w:rsid w:val="00902292"/>
    <w:rsid w:val="0090295D"/>
    <w:rsid w:val="00904FE6"/>
    <w:rsid w:val="00905730"/>
    <w:rsid w:val="009072D3"/>
    <w:rsid w:val="009139EE"/>
    <w:rsid w:val="00914055"/>
    <w:rsid w:val="00914C81"/>
    <w:rsid w:val="00916794"/>
    <w:rsid w:val="0091751B"/>
    <w:rsid w:val="00921AA6"/>
    <w:rsid w:val="00922BC6"/>
    <w:rsid w:val="00922DD1"/>
    <w:rsid w:val="009231A8"/>
    <w:rsid w:val="009249F5"/>
    <w:rsid w:val="00924DD7"/>
    <w:rsid w:val="009311AA"/>
    <w:rsid w:val="00931536"/>
    <w:rsid w:val="00931BF4"/>
    <w:rsid w:val="0093265F"/>
    <w:rsid w:val="00935F9C"/>
    <w:rsid w:val="00936A74"/>
    <w:rsid w:val="00937B3A"/>
    <w:rsid w:val="00943400"/>
    <w:rsid w:val="0094341C"/>
    <w:rsid w:val="00944872"/>
    <w:rsid w:val="009455F7"/>
    <w:rsid w:val="00945BE5"/>
    <w:rsid w:val="00945E60"/>
    <w:rsid w:val="00954526"/>
    <w:rsid w:val="0095643E"/>
    <w:rsid w:val="00961C2E"/>
    <w:rsid w:val="00961E1A"/>
    <w:rsid w:val="00961EFF"/>
    <w:rsid w:val="009622F7"/>
    <w:rsid w:val="00965EDE"/>
    <w:rsid w:val="00966A34"/>
    <w:rsid w:val="00967D04"/>
    <w:rsid w:val="009701C5"/>
    <w:rsid w:val="00971463"/>
    <w:rsid w:val="00974441"/>
    <w:rsid w:val="009808F4"/>
    <w:rsid w:val="00980F71"/>
    <w:rsid w:val="00980FE7"/>
    <w:rsid w:val="009846A2"/>
    <w:rsid w:val="0098568B"/>
    <w:rsid w:val="00986153"/>
    <w:rsid w:val="00987526"/>
    <w:rsid w:val="00992EC6"/>
    <w:rsid w:val="009A0065"/>
    <w:rsid w:val="009A1344"/>
    <w:rsid w:val="009A4377"/>
    <w:rsid w:val="009A54F7"/>
    <w:rsid w:val="009A618E"/>
    <w:rsid w:val="009A6961"/>
    <w:rsid w:val="009B06C6"/>
    <w:rsid w:val="009B590B"/>
    <w:rsid w:val="009B6545"/>
    <w:rsid w:val="009B69A5"/>
    <w:rsid w:val="009C0B9E"/>
    <w:rsid w:val="009C1045"/>
    <w:rsid w:val="009C31E6"/>
    <w:rsid w:val="009C3885"/>
    <w:rsid w:val="009C3A24"/>
    <w:rsid w:val="009C553C"/>
    <w:rsid w:val="009C5601"/>
    <w:rsid w:val="009D1DBE"/>
    <w:rsid w:val="009D210E"/>
    <w:rsid w:val="009D29BE"/>
    <w:rsid w:val="009D341D"/>
    <w:rsid w:val="009D5CD1"/>
    <w:rsid w:val="009E00C3"/>
    <w:rsid w:val="009E01DE"/>
    <w:rsid w:val="009E129C"/>
    <w:rsid w:val="009E1337"/>
    <w:rsid w:val="009E3EE6"/>
    <w:rsid w:val="009F04F5"/>
    <w:rsid w:val="009F16D1"/>
    <w:rsid w:val="009F4FCD"/>
    <w:rsid w:val="009F6ED5"/>
    <w:rsid w:val="009F74E4"/>
    <w:rsid w:val="00A01B76"/>
    <w:rsid w:val="00A028C2"/>
    <w:rsid w:val="00A0356E"/>
    <w:rsid w:val="00A03B4E"/>
    <w:rsid w:val="00A050E9"/>
    <w:rsid w:val="00A07100"/>
    <w:rsid w:val="00A073AE"/>
    <w:rsid w:val="00A075BF"/>
    <w:rsid w:val="00A117C5"/>
    <w:rsid w:val="00A13EF6"/>
    <w:rsid w:val="00A13F8B"/>
    <w:rsid w:val="00A144BF"/>
    <w:rsid w:val="00A150FD"/>
    <w:rsid w:val="00A15304"/>
    <w:rsid w:val="00A160AF"/>
    <w:rsid w:val="00A16204"/>
    <w:rsid w:val="00A164FE"/>
    <w:rsid w:val="00A17346"/>
    <w:rsid w:val="00A175B0"/>
    <w:rsid w:val="00A17F04"/>
    <w:rsid w:val="00A20BE3"/>
    <w:rsid w:val="00A23A66"/>
    <w:rsid w:val="00A27F70"/>
    <w:rsid w:val="00A304D7"/>
    <w:rsid w:val="00A3291C"/>
    <w:rsid w:val="00A32D74"/>
    <w:rsid w:val="00A35B6F"/>
    <w:rsid w:val="00A360DC"/>
    <w:rsid w:val="00A4001F"/>
    <w:rsid w:val="00A4003D"/>
    <w:rsid w:val="00A4015C"/>
    <w:rsid w:val="00A4155D"/>
    <w:rsid w:val="00A44E08"/>
    <w:rsid w:val="00A44F51"/>
    <w:rsid w:val="00A46420"/>
    <w:rsid w:val="00A519E5"/>
    <w:rsid w:val="00A531D2"/>
    <w:rsid w:val="00A61124"/>
    <w:rsid w:val="00A619DF"/>
    <w:rsid w:val="00A62168"/>
    <w:rsid w:val="00A6254F"/>
    <w:rsid w:val="00A627D8"/>
    <w:rsid w:val="00A6310F"/>
    <w:rsid w:val="00A6364F"/>
    <w:rsid w:val="00A66536"/>
    <w:rsid w:val="00A678FE"/>
    <w:rsid w:val="00A70DC4"/>
    <w:rsid w:val="00A72F2E"/>
    <w:rsid w:val="00A730A6"/>
    <w:rsid w:val="00A7357E"/>
    <w:rsid w:val="00A753A4"/>
    <w:rsid w:val="00A76AFF"/>
    <w:rsid w:val="00A77378"/>
    <w:rsid w:val="00A84124"/>
    <w:rsid w:val="00A85692"/>
    <w:rsid w:val="00A86555"/>
    <w:rsid w:val="00A86989"/>
    <w:rsid w:val="00A909E2"/>
    <w:rsid w:val="00A91C03"/>
    <w:rsid w:val="00A91EF5"/>
    <w:rsid w:val="00A92E04"/>
    <w:rsid w:val="00A97164"/>
    <w:rsid w:val="00AA0E73"/>
    <w:rsid w:val="00AA18F5"/>
    <w:rsid w:val="00AA43E7"/>
    <w:rsid w:val="00AA47A0"/>
    <w:rsid w:val="00AA5AAC"/>
    <w:rsid w:val="00AA5B91"/>
    <w:rsid w:val="00AA7F75"/>
    <w:rsid w:val="00AB1870"/>
    <w:rsid w:val="00AB2CCF"/>
    <w:rsid w:val="00AB33EE"/>
    <w:rsid w:val="00AB54D5"/>
    <w:rsid w:val="00AB6384"/>
    <w:rsid w:val="00AB6EB6"/>
    <w:rsid w:val="00AC0618"/>
    <w:rsid w:val="00AC07FD"/>
    <w:rsid w:val="00AC1610"/>
    <w:rsid w:val="00AC1884"/>
    <w:rsid w:val="00AC2581"/>
    <w:rsid w:val="00AC30E8"/>
    <w:rsid w:val="00AC45D4"/>
    <w:rsid w:val="00AC4DAF"/>
    <w:rsid w:val="00AC79E4"/>
    <w:rsid w:val="00AD062F"/>
    <w:rsid w:val="00AD1641"/>
    <w:rsid w:val="00AD27BD"/>
    <w:rsid w:val="00AD3A88"/>
    <w:rsid w:val="00AD446A"/>
    <w:rsid w:val="00AD44C2"/>
    <w:rsid w:val="00AD5B1B"/>
    <w:rsid w:val="00AE0ACC"/>
    <w:rsid w:val="00AF17E5"/>
    <w:rsid w:val="00AF3F7A"/>
    <w:rsid w:val="00AF484F"/>
    <w:rsid w:val="00AF4C85"/>
    <w:rsid w:val="00AF54F4"/>
    <w:rsid w:val="00AF6487"/>
    <w:rsid w:val="00AF6CE5"/>
    <w:rsid w:val="00AF7287"/>
    <w:rsid w:val="00AF7DA6"/>
    <w:rsid w:val="00B0027D"/>
    <w:rsid w:val="00B02CD2"/>
    <w:rsid w:val="00B0345F"/>
    <w:rsid w:val="00B03C70"/>
    <w:rsid w:val="00B04BEC"/>
    <w:rsid w:val="00B0511C"/>
    <w:rsid w:val="00B0638D"/>
    <w:rsid w:val="00B07301"/>
    <w:rsid w:val="00B108B6"/>
    <w:rsid w:val="00B14064"/>
    <w:rsid w:val="00B14CA2"/>
    <w:rsid w:val="00B15165"/>
    <w:rsid w:val="00B15F03"/>
    <w:rsid w:val="00B1645D"/>
    <w:rsid w:val="00B20648"/>
    <w:rsid w:val="00B21FF9"/>
    <w:rsid w:val="00B22F7F"/>
    <w:rsid w:val="00B2327F"/>
    <w:rsid w:val="00B25355"/>
    <w:rsid w:val="00B30B1A"/>
    <w:rsid w:val="00B32B6D"/>
    <w:rsid w:val="00B33260"/>
    <w:rsid w:val="00B33971"/>
    <w:rsid w:val="00B33EF6"/>
    <w:rsid w:val="00B35C2C"/>
    <w:rsid w:val="00B3606E"/>
    <w:rsid w:val="00B425A4"/>
    <w:rsid w:val="00B44655"/>
    <w:rsid w:val="00B47723"/>
    <w:rsid w:val="00B50D39"/>
    <w:rsid w:val="00B5309C"/>
    <w:rsid w:val="00B546B1"/>
    <w:rsid w:val="00B5499E"/>
    <w:rsid w:val="00B55195"/>
    <w:rsid w:val="00B557F3"/>
    <w:rsid w:val="00B56067"/>
    <w:rsid w:val="00B61397"/>
    <w:rsid w:val="00B614C5"/>
    <w:rsid w:val="00B62F72"/>
    <w:rsid w:val="00B64224"/>
    <w:rsid w:val="00B64399"/>
    <w:rsid w:val="00B65A19"/>
    <w:rsid w:val="00B66017"/>
    <w:rsid w:val="00B66492"/>
    <w:rsid w:val="00B668FB"/>
    <w:rsid w:val="00B707C7"/>
    <w:rsid w:val="00B70953"/>
    <w:rsid w:val="00B71DBB"/>
    <w:rsid w:val="00B74248"/>
    <w:rsid w:val="00B74A82"/>
    <w:rsid w:val="00B75165"/>
    <w:rsid w:val="00B759A0"/>
    <w:rsid w:val="00B762E8"/>
    <w:rsid w:val="00B818C6"/>
    <w:rsid w:val="00B81F7D"/>
    <w:rsid w:val="00B82278"/>
    <w:rsid w:val="00B86457"/>
    <w:rsid w:val="00B90700"/>
    <w:rsid w:val="00B913DB"/>
    <w:rsid w:val="00B94ACC"/>
    <w:rsid w:val="00B977D0"/>
    <w:rsid w:val="00BA599A"/>
    <w:rsid w:val="00BA65B2"/>
    <w:rsid w:val="00BA7D44"/>
    <w:rsid w:val="00BB06AD"/>
    <w:rsid w:val="00BB2517"/>
    <w:rsid w:val="00BB366E"/>
    <w:rsid w:val="00BB37CE"/>
    <w:rsid w:val="00BB3E58"/>
    <w:rsid w:val="00BB3EB5"/>
    <w:rsid w:val="00BB412F"/>
    <w:rsid w:val="00BB5532"/>
    <w:rsid w:val="00BC5671"/>
    <w:rsid w:val="00BC596B"/>
    <w:rsid w:val="00BC6AA4"/>
    <w:rsid w:val="00BD1CE8"/>
    <w:rsid w:val="00BD1F0D"/>
    <w:rsid w:val="00BD2D6B"/>
    <w:rsid w:val="00BD56AF"/>
    <w:rsid w:val="00BE15D1"/>
    <w:rsid w:val="00BE1A95"/>
    <w:rsid w:val="00BE21FB"/>
    <w:rsid w:val="00BE2884"/>
    <w:rsid w:val="00BE3692"/>
    <w:rsid w:val="00BE3EB0"/>
    <w:rsid w:val="00BE6AA6"/>
    <w:rsid w:val="00BE6D9F"/>
    <w:rsid w:val="00BF1E42"/>
    <w:rsid w:val="00BF2994"/>
    <w:rsid w:val="00BF3197"/>
    <w:rsid w:val="00BF36C9"/>
    <w:rsid w:val="00C04F7A"/>
    <w:rsid w:val="00C05B19"/>
    <w:rsid w:val="00C0736A"/>
    <w:rsid w:val="00C12FE9"/>
    <w:rsid w:val="00C13B3D"/>
    <w:rsid w:val="00C1437C"/>
    <w:rsid w:val="00C14CF8"/>
    <w:rsid w:val="00C14E16"/>
    <w:rsid w:val="00C16DA5"/>
    <w:rsid w:val="00C17D03"/>
    <w:rsid w:val="00C215A4"/>
    <w:rsid w:val="00C21ECE"/>
    <w:rsid w:val="00C24C62"/>
    <w:rsid w:val="00C25D69"/>
    <w:rsid w:val="00C2687E"/>
    <w:rsid w:val="00C2695E"/>
    <w:rsid w:val="00C26A11"/>
    <w:rsid w:val="00C27AC9"/>
    <w:rsid w:val="00C316D4"/>
    <w:rsid w:val="00C31828"/>
    <w:rsid w:val="00C350C2"/>
    <w:rsid w:val="00C3593F"/>
    <w:rsid w:val="00C36A78"/>
    <w:rsid w:val="00C37902"/>
    <w:rsid w:val="00C427AF"/>
    <w:rsid w:val="00C50E66"/>
    <w:rsid w:val="00C53BE1"/>
    <w:rsid w:val="00C57283"/>
    <w:rsid w:val="00C61325"/>
    <w:rsid w:val="00C61D0D"/>
    <w:rsid w:val="00C65B95"/>
    <w:rsid w:val="00C66454"/>
    <w:rsid w:val="00C66F44"/>
    <w:rsid w:val="00C66FB1"/>
    <w:rsid w:val="00C700A2"/>
    <w:rsid w:val="00C74001"/>
    <w:rsid w:val="00C74965"/>
    <w:rsid w:val="00C75522"/>
    <w:rsid w:val="00C762AE"/>
    <w:rsid w:val="00C77EA9"/>
    <w:rsid w:val="00C80570"/>
    <w:rsid w:val="00C82C6D"/>
    <w:rsid w:val="00C82E0E"/>
    <w:rsid w:val="00C83F2C"/>
    <w:rsid w:val="00C862F0"/>
    <w:rsid w:val="00C87737"/>
    <w:rsid w:val="00C87BDC"/>
    <w:rsid w:val="00C904B7"/>
    <w:rsid w:val="00C93946"/>
    <w:rsid w:val="00C93A43"/>
    <w:rsid w:val="00C941AF"/>
    <w:rsid w:val="00C9668D"/>
    <w:rsid w:val="00CA0CDD"/>
    <w:rsid w:val="00CA164C"/>
    <w:rsid w:val="00CA1A49"/>
    <w:rsid w:val="00CA1CDC"/>
    <w:rsid w:val="00CA3454"/>
    <w:rsid w:val="00CA3503"/>
    <w:rsid w:val="00CA3E5D"/>
    <w:rsid w:val="00CA5A79"/>
    <w:rsid w:val="00CA616E"/>
    <w:rsid w:val="00CA6E97"/>
    <w:rsid w:val="00CB0A0D"/>
    <w:rsid w:val="00CB1AFC"/>
    <w:rsid w:val="00CB278D"/>
    <w:rsid w:val="00CB3C3E"/>
    <w:rsid w:val="00CB3FAD"/>
    <w:rsid w:val="00CB658A"/>
    <w:rsid w:val="00CC1423"/>
    <w:rsid w:val="00CC376D"/>
    <w:rsid w:val="00CC3CC9"/>
    <w:rsid w:val="00CC4FCE"/>
    <w:rsid w:val="00CC5D3C"/>
    <w:rsid w:val="00CC60AF"/>
    <w:rsid w:val="00CD1A28"/>
    <w:rsid w:val="00CD29F7"/>
    <w:rsid w:val="00CD3881"/>
    <w:rsid w:val="00CD4B7F"/>
    <w:rsid w:val="00CD4F4A"/>
    <w:rsid w:val="00CD5C49"/>
    <w:rsid w:val="00CD7B32"/>
    <w:rsid w:val="00CE066E"/>
    <w:rsid w:val="00CE0BDF"/>
    <w:rsid w:val="00CE1FFB"/>
    <w:rsid w:val="00CE3AD0"/>
    <w:rsid w:val="00CE50A3"/>
    <w:rsid w:val="00CE53DA"/>
    <w:rsid w:val="00CE65CB"/>
    <w:rsid w:val="00CF6412"/>
    <w:rsid w:val="00CF6C86"/>
    <w:rsid w:val="00CF778D"/>
    <w:rsid w:val="00D0088E"/>
    <w:rsid w:val="00D02E51"/>
    <w:rsid w:val="00D03340"/>
    <w:rsid w:val="00D05119"/>
    <w:rsid w:val="00D05668"/>
    <w:rsid w:val="00D07C64"/>
    <w:rsid w:val="00D107F1"/>
    <w:rsid w:val="00D10B6A"/>
    <w:rsid w:val="00D162AC"/>
    <w:rsid w:val="00D168FD"/>
    <w:rsid w:val="00D16D1F"/>
    <w:rsid w:val="00D16E34"/>
    <w:rsid w:val="00D20313"/>
    <w:rsid w:val="00D20637"/>
    <w:rsid w:val="00D20C8D"/>
    <w:rsid w:val="00D22848"/>
    <w:rsid w:val="00D23AB0"/>
    <w:rsid w:val="00D24C54"/>
    <w:rsid w:val="00D258AC"/>
    <w:rsid w:val="00D30625"/>
    <w:rsid w:val="00D31178"/>
    <w:rsid w:val="00D31A87"/>
    <w:rsid w:val="00D32541"/>
    <w:rsid w:val="00D343EE"/>
    <w:rsid w:val="00D36D0B"/>
    <w:rsid w:val="00D374B5"/>
    <w:rsid w:val="00D3759E"/>
    <w:rsid w:val="00D37C99"/>
    <w:rsid w:val="00D41370"/>
    <w:rsid w:val="00D426FC"/>
    <w:rsid w:val="00D4411F"/>
    <w:rsid w:val="00D55F05"/>
    <w:rsid w:val="00D61529"/>
    <w:rsid w:val="00D61640"/>
    <w:rsid w:val="00D6764E"/>
    <w:rsid w:val="00D70A2F"/>
    <w:rsid w:val="00D70F20"/>
    <w:rsid w:val="00D72983"/>
    <w:rsid w:val="00D72D77"/>
    <w:rsid w:val="00D75EBD"/>
    <w:rsid w:val="00D75F0C"/>
    <w:rsid w:val="00D76F89"/>
    <w:rsid w:val="00D7770F"/>
    <w:rsid w:val="00D77F92"/>
    <w:rsid w:val="00D813AD"/>
    <w:rsid w:val="00D85160"/>
    <w:rsid w:val="00D85B6F"/>
    <w:rsid w:val="00D86810"/>
    <w:rsid w:val="00D86CD3"/>
    <w:rsid w:val="00D87133"/>
    <w:rsid w:val="00D8739C"/>
    <w:rsid w:val="00D87AE8"/>
    <w:rsid w:val="00D921EE"/>
    <w:rsid w:val="00D92BD2"/>
    <w:rsid w:val="00D95975"/>
    <w:rsid w:val="00D95F87"/>
    <w:rsid w:val="00DA1509"/>
    <w:rsid w:val="00DA1DC8"/>
    <w:rsid w:val="00DA25F9"/>
    <w:rsid w:val="00DA39B6"/>
    <w:rsid w:val="00DA459B"/>
    <w:rsid w:val="00DA50F6"/>
    <w:rsid w:val="00DB0CC1"/>
    <w:rsid w:val="00DB0FBF"/>
    <w:rsid w:val="00DB2AE9"/>
    <w:rsid w:val="00DC00E3"/>
    <w:rsid w:val="00DC12EE"/>
    <w:rsid w:val="00DC2767"/>
    <w:rsid w:val="00DC6D5D"/>
    <w:rsid w:val="00DC6F0C"/>
    <w:rsid w:val="00DC772A"/>
    <w:rsid w:val="00DD4483"/>
    <w:rsid w:val="00DD5E9F"/>
    <w:rsid w:val="00DE042B"/>
    <w:rsid w:val="00DE097A"/>
    <w:rsid w:val="00DE0D00"/>
    <w:rsid w:val="00DE5969"/>
    <w:rsid w:val="00DE691D"/>
    <w:rsid w:val="00DE7933"/>
    <w:rsid w:val="00DF0177"/>
    <w:rsid w:val="00DF71D5"/>
    <w:rsid w:val="00E02F4B"/>
    <w:rsid w:val="00E11428"/>
    <w:rsid w:val="00E114E7"/>
    <w:rsid w:val="00E118BE"/>
    <w:rsid w:val="00E11E5B"/>
    <w:rsid w:val="00E12F3E"/>
    <w:rsid w:val="00E14E65"/>
    <w:rsid w:val="00E154D6"/>
    <w:rsid w:val="00E15BD6"/>
    <w:rsid w:val="00E17D53"/>
    <w:rsid w:val="00E201B3"/>
    <w:rsid w:val="00E20B3A"/>
    <w:rsid w:val="00E20B82"/>
    <w:rsid w:val="00E2454A"/>
    <w:rsid w:val="00E24FC3"/>
    <w:rsid w:val="00E36576"/>
    <w:rsid w:val="00E37942"/>
    <w:rsid w:val="00E4024F"/>
    <w:rsid w:val="00E40B83"/>
    <w:rsid w:val="00E4126A"/>
    <w:rsid w:val="00E416EF"/>
    <w:rsid w:val="00E42831"/>
    <w:rsid w:val="00E44279"/>
    <w:rsid w:val="00E442DB"/>
    <w:rsid w:val="00E447AD"/>
    <w:rsid w:val="00E47B48"/>
    <w:rsid w:val="00E51ED1"/>
    <w:rsid w:val="00E52B73"/>
    <w:rsid w:val="00E52E35"/>
    <w:rsid w:val="00E54A47"/>
    <w:rsid w:val="00E55765"/>
    <w:rsid w:val="00E558C6"/>
    <w:rsid w:val="00E560F7"/>
    <w:rsid w:val="00E5658D"/>
    <w:rsid w:val="00E57A79"/>
    <w:rsid w:val="00E6191F"/>
    <w:rsid w:val="00E67C1E"/>
    <w:rsid w:val="00E7173C"/>
    <w:rsid w:val="00E7675A"/>
    <w:rsid w:val="00E82C27"/>
    <w:rsid w:val="00E82EF2"/>
    <w:rsid w:val="00E85752"/>
    <w:rsid w:val="00E86B29"/>
    <w:rsid w:val="00E93F13"/>
    <w:rsid w:val="00E94552"/>
    <w:rsid w:val="00E9464B"/>
    <w:rsid w:val="00EA142C"/>
    <w:rsid w:val="00EA1552"/>
    <w:rsid w:val="00EA4426"/>
    <w:rsid w:val="00EA479E"/>
    <w:rsid w:val="00EA4FC7"/>
    <w:rsid w:val="00EA665F"/>
    <w:rsid w:val="00EB104D"/>
    <w:rsid w:val="00EB1988"/>
    <w:rsid w:val="00EB1DD7"/>
    <w:rsid w:val="00EB2706"/>
    <w:rsid w:val="00EB38EF"/>
    <w:rsid w:val="00EB4A7D"/>
    <w:rsid w:val="00EB6268"/>
    <w:rsid w:val="00EB7687"/>
    <w:rsid w:val="00EC3B50"/>
    <w:rsid w:val="00EC5B25"/>
    <w:rsid w:val="00EC7767"/>
    <w:rsid w:val="00ED093B"/>
    <w:rsid w:val="00ED0E6E"/>
    <w:rsid w:val="00ED456D"/>
    <w:rsid w:val="00ED6414"/>
    <w:rsid w:val="00EE0C71"/>
    <w:rsid w:val="00EE1977"/>
    <w:rsid w:val="00EE1B8A"/>
    <w:rsid w:val="00EE3874"/>
    <w:rsid w:val="00EE3EA1"/>
    <w:rsid w:val="00EE7F6C"/>
    <w:rsid w:val="00EF00B3"/>
    <w:rsid w:val="00EF0F0A"/>
    <w:rsid w:val="00EF7A0D"/>
    <w:rsid w:val="00F0128C"/>
    <w:rsid w:val="00F01D28"/>
    <w:rsid w:val="00F14304"/>
    <w:rsid w:val="00F14451"/>
    <w:rsid w:val="00F14FB1"/>
    <w:rsid w:val="00F161CE"/>
    <w:rsid w:val="00F16AC3"/>
    <w:rsid w:val="00F21E99"/>
    <w:rsid w:val="00F255B9"/>
    <w:rsid w:val="00F25DC7"/>
    <w:rsid w:val="00F2701F"/>
    <w:rsid w:val="00F32B2E"/>
    <w:rsid w:val="00F3351E"/>
    <w:rsid w:val="00F36764"/>
    <w:rsid w:val="00F371B7"/>
    <w:rsid w:val="00F51E87"/>
    <w:rsid w:val="00F572A2"/>
    <w:rsid w:val="00F57BB2"/>
    <w:rsid w:val="00F6002A"/>
    <w:rsid w:val="00F613F2"/>
    <w:rsid w:val="00F62116"/>
    <w:rsid w:val="00F66DD9"/>
    <w:rsid w:val="00F70379"/>
    <w:rsid w:val="00F710B4"/>
    <w:rsid w:val="00F71163"/>
    <w:rsid w:val="00F71884"/>
    <w:rsid w:val="00F732AD"/>
    <w:rsid w:val="00F75325"/>
    <w:rsid w:val="00F75DFC"/>
    <w:rsid w:val="00F75F21"/>
    <w:rsid w:val="00F76398"/>
    <w:rsid w:val="00F766EE"/>
    <w:rsid w:val="00F76BBD"/>
    <w:rsid w:val="00F80514"/>
    <w:rsid w:val="00F80569"/>
    <w:rsid w:val="00F82026"/>
    <w:rsid w:val="00F82AF6"/>
    <w:rsid w:val="00F911F0"/>
    <w:rsid w:val="00F96363"/>
    <w:rsid w:val="00FA0B21"/>
    <w:rsid w:val="00FA1526"/>
    <w:rsid w:val="00FA207B"/>
    <w:rsid w:val="00FA24BB"/>
    <w:rsid w:val="00FA3BFD"/>
    <w:rsid w:val="00FA420A"/>
    <w:rsid w:val="00FA66BD"/>
    <w:rsid w:val="00FA6740"/>
    <w:rsid w:val="00FA7C43"/>
    <w:rsid w:val="00FB122C"/>
    <w:rsid w:val="00FB1FD0"/>
    <w:rsid w:val="00FB2100"/>
    <w:rsid w:val="00FB392D"/>
    <w:rsid w:val="00FB4DD8"/>
    <w:rsid w:val="00FC0DBA"/>
    <w:rsid w:val="00FC335B"/>
    <w:rsid w:val="00FC6879"/>
    <w:rsid w:val="00FD1964"/>
    <w:rsid w:val="00FD2A6D"/>
    <w:rsid w:val="00FD2CC2"/>
    <w:rsid w:val="00FD4103"/>
    <w:rsid w:val="00FD6311"/>
    <w:rsid w:val="00FD6E54"/>
    <w:rsid w:val="00FE02EB"/>
    <w:rsid w:val="00FE164D"/>
    <w:rsid w:val="00FE1ED9"/>
    <w:rsid w:val="00FE25FF"/>
    <w:rsid w:val="00FE43DC"/>
    <w:rsid w:val="00FE4712"/>
    <w:rsid w:val="00FE59E0"/>
    <w:rsid w:val="00FE6507"/>
    <w:rsid w:val="00FF1ED4"/>
    <w:rsid w:val="00FF1EED"/>
    <w:rsid w:val="00FF2D3C"/>
    <w:rsid w:val="00FF4926"/>
    <w:rsid w:val="00FF4F8D"/>
    <w:rsid w:val="00FF4FD2"/>
    <w:rsid w:val="00FF5167"/>
    <w:rsid w:val="00FF557F"/>
    <w:rsid w:val="00FF7FD9"/>
    <w:rsid w:val="017F53A9"/>
    <w:rsid w:val="058E7401"/>
    <w:rsid w:val="07F15400"/>
    <w:rsid w:val="0EB66D3A"/>
    <w:rsid w:val="10D92EB9"/>
    <w:rsid w:val="12497B39"/>
    <w:rsid w:val="152378BB"/>
    <w:rsid w:val="20AA3CF2"/>
    <w:rsid w:val="212D6929"/>
    <w:rsid w:val="21E207F1"/>
    <w:rsid w:val="22A56C1E"/>
    <w:rsid w:val="249B0281"/>
    <w:rsid w:val="26552372"/>
    <w:rsid w:val="266E0421"/>
    <w:rsid w:val="29E647CC"/>
    <w:rsid w:val="2B111321"/>
    <w:rsid w:val="2FB03555"/>
    <w:rsid w:val="33220146"/>
    <w:rsid w:val="33501CED"/>
    <w:rsid w:val="34D83463"/>
    <w:rsid w:val="36CD6394"/>
    <w:rsid w:val="371A6949"/>
    <w:rsid w:val="37CC1D58"/>
    <w:rsid w:val="38A85D8D"/>
    <w:rsid w:val="3DC05C54"/>
    <w:rsid w:val="3DE61B3F"/>
    <w:rsid w:val="3E291E79"/>
    <w:rsid w:val="44657E78"/>
    <w:rsid w:val="44855F91"/>
    <w:rsid w:val="456B2ABE"/>
    <w:rsid w:val="458F392C"/>
    <w:rsid w:val="4D34553A"/>
    <w:rsid w:val="507C2DF0"/>
    <w:rsid w:val="53306082"/>
    <w:rsid w:val="540B0F9E"/>
    <w:rsid w:val="5B1F51C6"/>
    <w:rsid w:val="5B3A7426"/>
    <w:rsid w:val="5BFA6656"/>
    <w:rsid w:val="5C2E164A"/>
    <w:rsid w:val="5CB21C23"/>
    <w:rsid w:val="60D373D4"/>
    <w:rsid w:val="6FEA1219"/>
    <w:rsid w:val="725903E4"/>
    <w:rsid w:val="7521452B"/>
    <w:rsid w:val="76D17C37"/>
    <w:rsid w:val="77D60D6E"/>
    <w:rsid w:val="78BA359E"/>
    <w:rsid w:val="7A4161F9"/>
    <w:rsid w:val="7BDC1626"/>
    <w:rsid w:val="7E9E5723"/>
    <w:rsid w:val="7F8B4D9A"/>
    <w:rsid w:val="7FCE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82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813A8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13A8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13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13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813A82"/>
    <w:rPr>
      <w:b/>
      <w:bCs/>
    </w:rPr>
  </w:style>
  <w:style w:type="character" w:styleId="a8">
    <w:name w:val="annotation reference"/>
    <w:basedOn w:val="a0"/>
    <w:uiPriority w:val="99"/>
    <w:qFormat/>
    <w:rsid w:val="00813A82"/>
    <w:rPr>
      <w:rFonts w:cs="Times New Roman"/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813A82"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rsid w:val="00813A82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13A82"/>
    <w:rPr>
      <w:rFonts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813A82"/>
    <w:rPr>
      <w:rFonts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13A82"/>
    <w:rPr>
      <w:rFonts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813A82"/>
    <w:rPr>
      <w:rFonts w:asciiTheme="minorHAnsi" w:eastAsiaTheme="minorEastAsia" w:hAnsiTheme="minorHAnsi"/>
      <w:kern w:val="2"/>
      <w:sz w:val="21"/>
      <w:szCs w:val="22"/>
    </w:rPr>
  </w:style>
  <w:style w:type="paragraph" w:styleId="a9">
    <w:name w:val="List Paragraph"/>
    <w:basedOn w:val="a"/>
    <w:uiPriority w:val="99"/>
    <w:qFormat/>
    <w:rsid w:val="00813A82"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sid w:val="00813A82"/>
    <w:rPr>
      <w:rFonts w:asciiTheme="minorHAnsi" w:eastAsiaTheme="minorEastAsia" w:hAnsiTheme="minorHAns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813A82"/>
    <w:rPr>
      <w:rFonts w:asciiTheme="minorHAnsi" w:eastAsiaTheme="minorEastAsia" w:hAnsiTheme="minorHAns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813A82"/>
    <w:rPr>
      <w:rFonts w:asciiTheme="minorHAnsi" w:eastAsiaTheme="minorEastAsia" w:hAnsiTheme="minorHAns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2059</Characters>
  <Application>Microsoft Office Word</Application>
  <DocSecurity>4</DocSecurity>
  <Lines>17</Lines>
  <Paragraphs>4</Paragraphs>
  <ScaleCrop>false</ScaleCrop>
  <Company>HP Inc.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李佳丽</dc:creator>
  <cp:lastModifiedBy>ZHONGM</cp:lastModifiedBy>
  <cp:revision>2</cp:revision>
  <cp:lastPrinted>2024-02-02T10:50:00Z</cp:lastPrinted>
  <dcterms:created xsi:type="dcterms:W3CDTF">2025-12-29T16:04:00Z</dcterms:created>
  <dcterms:modified xsi:type="dcterms:W3CDTF">2025-12-29T16:04:00Z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E50E3D506B4C41EEAF22B2AF732B7E47</vt:lpwstr>
  </property>
</Properties>
</file>