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38F" w:rsidRPr="00E066E9" w:rsidRDefault="00DF1086">
      <w:pPr>
        <w:widowControl/>
        <w:jc w:val="center"/>
        <w:rPr>
          <w:rFonts w:eastAsiaTheme="minorEastAsia" w:cs="宋体"/>
          <w:b/>
          <w:kern w:val="0"/>
          <w:sz w:val="24"/>
          <w:szCs w:val="24"/>
        </w:rPr>
      </w:pPr>
      <w:bookmarkStart w:id="0" w:name="_GoBack"/>
      <w:bookmarkEnd w:id="0"/>
      <w:r w:rsidRPr="00E066E9">
        <w:rPr>
          <w:rFonts w:eastAsiaTheme="minorEastAsia" w:cs="宋体" w:hint="eastAsia"/>
          <w:b/>
          <w:kern w:val="0"/>
          <w:sz w:val="24"/>
          <w:szCs w:val="24"/>
        </w:rPr>
        <w:t>华夏恒生生物科技交易型开放式指数证券投资基金（</w:t>
      </w:r>
      <w:r w:rsidRPr="00E066E9">
        <w:rPr>
          <w:rFonts w:eastAsiaTheme="minorEastAsia" w:cs="宋体" w:hint="eastAsia"/>
          <w:b/>
          <w:kern w:val="0"/>
          <w:sz w:val="24"/>
          <w:szCs w:val="24"/>
        </w:rPr>
        <w:t>QDII</w:t>
      </w:r>
      <w:r w:rsidRPr="00E066E9">
        <w:rPr>
          <w:rFonts w:eastAsiaTheme="minorEastAsia" w:cs="宋体" w:hint="eastAsia"/>
          <w:b/>
          <w:kern w:val="0"/>
          <w:sz w:val="24"/>
          <w:szCs w:val="24"/>
        </w:rPr>
        <w:t>）暂停申购、赎回业务的公告</w:t>
      </w:r>
    </w:p>
    <w:p w:rsidR="0033438F" w:rsidRPr="00E066E9" w:rsidRDefault="00DF1086">
      <w:pPr>
        <w:spacing w:line="560" w:lineRule="exact"/>
        <w:jc w:val="center"/>
        <w:rPr>
          <w:rFonts w:eastAsiaTheme="minorEastAsia" w:cs="宋体"/>
          <w:b/>
          <w:bCs/>
          <w:sz w:val="24"/>
          <w:szCs w:val="24"/>
        </w:rPr>
      </w:pPr>
      <w:r w:rsidRPr="00E066E9">
        <w:rPr>
          <w:rFonts w:eastAsiaTheme="minorEastAsia"/>
          <w:b/>
          <w:bCs/>
          <w:color w:val="000000"/>
          <w:sz w:val="24"/>
          <w:szCs w:val="24"/>
        </w:rPr>
        <w:t>公告送出日期：</w:t>
      </w:r>
      <w:r w:rsidRPr="00E066E9">
        <w:rPr>
          <w:rFonts w:eastAsiaTheme="minorEastAsia"/>
          <w:b/>
          <w:bCs/>
          <w:sz w:val="24"/>
          <w:szCs w:val="24"/>
        </w:rPr>
        <w:t>2025</w:t>
      </w:r>
      <w:r w:rsidRPr="00E066E9">
        <w:rPr>
          <w:rFonts w:eastAsiaTheme="minorEastAsia"/>
          <w:b/>
          <w:bCs/>
          <w:sz w:val="24"/>
          <w:szCs w:val="24"/>
        </w:rPr>
        <w:t>年</w:t>
      </w:r>
      <w:r w:rsidRPr="00E066E9">
        <w:rPr>
          <w:rFonts w:eastAsiaTheme="minorEastAsia"/>
          <w:b/>
          <w:bCs/>
          <w:sz w:val="24"/>
          <w:szCs w:val="24"/>
        </w:rPr>
        <w:t>12</w:t>
      </w:r>
      <w:r w:rsidRPr="00E066E9">
        <w:rPr>
          <w:rFonts w:eastAsiaTheme="minorEastAsia"/>
          <w:b/>
          <w:bCs/>
          <w:sz w:val="24"/>
          <w:szCs w:val="24"/>
        </w:rPr>
        <w:t>月</w:t>
      </w:r>
      <w:r w:rsidRPr="00E066E9">
        <w:rPr>
          <w:rFonts w:eastAsiaTheme="minorEastAsia"/>
          <w:b/>
          <w:bCs/>
          <w:sz w:val="24"/>
          <w:szCs w:val="24"/>
        </w:rPr>
        <w:t>29</w:t>
      </w:r>
      <w:r w:rsidRPr="00E066E9">
        <w:rPr>
          <w:rFonts w:eastAsiaTheme="minorEastAsia"/>
          <w:b/>
          <w:bCs/>
          <w:sz w:val="24"/>
          <w:szCs w:val="24"/>
        </w:rPr>
        <w:t>日</w:t>
      </w:r>
    </w:p>
    <w:p w:rsidR="0033438F" w:rsidRPr="00E066E9" w:rsidRDefault="0033438F">
      <w:pPr>
        <w:spacing w:line="560" w:lineRule="exact"/>
        <w:jc w:val="center"/>
        <w:rPr>
          <w:rFonts w:eastAsiaTheme="minorEastAsia"/>
          <w:color w:val="000000"/>
          <w:sz w:val="24"/>
          <w:szCs w:val="24"/>
        </w:rPr>
      </w:pPr>
    </w:p>
    <w:p w:rsidR="0033438F" w:rsidRPr="00E066E9" w:rsidRDefault="00DF1086">
      <w:pPr>
        <w:pStyle w:val="2"/>
        <w:spacing w:line="360" w:lineRule="auto"/>
        <w:rPr>
          <w:rFonts w:ascii="Times New Roman" w:eastAsiaTheme="minorEastAsia" w:hAnsi="Times New Roman"/>
          <w:bCs w:val="0"/>
          <w:color w:val="000000"/>
          <w:sz w:val="24"/>
          <w:szCs w:val="24"/>
        </w:rPr>
      </w:pPr>
      <w:bookmarkStart w:id="1" w:name="_Toc275961405"/>
      <w:r w:rsidRPr="00E066E9">
        <w:rPr>
          <w:rFonts w:ascii="Times New Roman" w:eastAsiaTheme="minorEastAsia" w:hAnsi="Times New Roman"/>
          <w:bCs w:val="0"/>
          <w:color w:val="000000"/>
          <w:sz w:val="24"/>
          <w:szCs w:val="24"/>
        </w:rPr>
        <w:t xml:space="preserve">1 </w:t>
      </w:r>
      <w:r w:rsidRPr="00E066E9">
        <w:rPr>
          <w:rFonts w:ascii="Times New Roman" w:eastAsiaTheme="minorEastAsia" w:hAnsi="Times New Roman"/>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53"/>
        <w:gridCol w:w="2894"/>
        <w:gridCol w:w="3686"/>
        <w:gridCol w:w="6"/>
      </w:tblGrid>
      <w:tr w:rsidR="0033438F" w:rsidRPr="00E066E9">
        <w:trPr>
          <w:jc w:val="center"/>
        </w:trPr>
        <w:tc>
          <w:tcPr>
            <w:tcW w:w="3053" w:type="dxa"/>
          </w:tcPr>
          <w:p w:rsidR="0033438F" w:rsidRPr="00E066E9" w:rsidRDefault="00DF1086">
            <w:pPr>
              <w:rPr>
                <w:rFonts w:eastAsia="宋体" w:cs="宋体"/>
                <w:color w:val="000000"/>
                <w:sz w:val="21"/>
                <w:szCs w:val="21"/>
                <w:highlight w:val="cyan"/>
              </w:rPr>
            </w:pPr>
            <w:r w:rsidRPr="00E066E9">
              <w:rPr>
                <w:rFonts w:eastAsia="宋体" w:cs="宋体" w:hint="eastAsia"/>
                <w:color w:val="000000"/>
                <w:sz w:val="21"/>
                <w:szCs w:val="21"/>
              </w:rPr>
              <w:t>基金名称</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华夏恒生生物科技交易型开放式指数证券投资基金（</w:t>
            </w:r>
            <w:r w:rsidRPr="00E066E9">
              <w:rPr>
                <w:rFonts w:eastAsia="宋体" w:cs="宋体" w:hint="eastAsia"/>
                <w:sz w:val="21"/>
                <w:szCs w:val="21"/>
              </w:rPr>
              <w:t>QDII</w:t>
            </w:r>
            <w:r w:rsidRPr="00E066E9">
              <w:rPr>
                <w:rFonts w:eastAsia="宋体" w:cs="宋体" w:hint="eastAsia"/>
                <w:sz w:val="21"/>
                <w:szCs w:val="21"/>
              </w:rPr>
              <w:t>）</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基金简称</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华夏恒生生物科技</w:t>
            </w:r>
            <w:r w:rsidRPr="00E066E9">
              <w:rPr>
                <w:rFonts w:eastAsia="宋体" w:cs="宋体" w:hint="eastAsia"/>
                <w:sz w:val="21"/>
                <w:szCs w:val="21"/>
              </w:rPr>
              <w:t>ETF</w:t>
            </w:r>
            <w:r w:rsidRPr="00E066E9">
              <w:rPr>
                <w:rFonts w:eastAsia="宋体" w:cs="宋体" w:hint="eastAsia"/>
                <w:sz w:val="21"/>
                <w:szCs w:val="21"/>
              </w:rPr>
              <w:t>（</w:t>
            </w:r>
            <w:r w:rsidRPr="00E066E9">
              <w:rPr>
                <w:rFonts w:eastAsia="宋体" w:cs="宋体" w:hint="eastAsia"/>
                <w:sz w:val="21"/>
                <w:szCs w:val="21"/>
              </w:rPr>
              <w:t>QDII</w:t>
            </w:r>
            <w:r w:rsidRPr="00E066E9">
              <w:rPr>
                <w:rFonts w:eastAsia="宋体" w:cs="宋体" w:hint="eastAsia"/>
                <w:sz w:val="21"/>
                <w:szCs w:val="21"/>
              </w:rPr>
              <w:t>）</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基金主代码</w:t>
            </w:r>
          </w:p>
        </w:tc>
        <w:tc>
          <w:tcPr>
            <w:tcW w:w="6586" w:type="dxa"/>
            <w:gridSpan w:val="3"/>
            <w:vAlign w:val="center"/>
          </w:tcPr>
          <w:p w:rsidR="0033438F" w:rsidRPr="00E066E9" w:rsidRDefault="00DF1086">
            <w:pPr>
              <w:rPr>
                <w:rFonts w:eastAsia="宋体" w:cs="宋体"/>
                <w:color w:val="000000"/>
                <w:kern w:val="0"/>
                <w:sz w:val="21"/>
                <w:szCs w:val="21"/>
              </w:rPr>
            </w:pPr>
            <w:r w:rsidRPr="00E066E9">
              <w:rPr>
                <w:rFonts w:eastAsia="宋体" w:cs="宋体" w:hint="eastAsia"/>
                <w:sz w:val="21"/>
                <w:szCs w:val="21"/>
              </w:rPr>
              <w:t>159892</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基金管理人名称</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华夏基金管理有限公司</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公告依据</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《华夏恒生生物科技交易型开放式指数证券投资基金（</w:t>
            </w:r>
            <w:r w:rsidRPr="00E066E9">
              <w:rPr>
                <w:rFonts w:eastAsia="宋体" w:cs="宋体" w:hint="eastAsia"/>
                <w:sz w:val="21"/>
                <w:szCs w:val="21"/>
              </w:rPr>
              <w:t>QDII</w:t>
            </w:r>
            <w:r w:rsidRPr="00E066E9">
              <w:rPr>
                <w:rFonts w:eastAsia="宋体" w:cs="宋体" w:hint="eastAsia"/>
                <w:sz w:val="21"/>
                <w:szCs w:val="21"/>
              </w:rPr>
              <w:t>）基金合同》《华夏恒生生物科技交易型开放式指数证券投资基金（</w:t>
            </w:r>
            <w:r w:rsidRPr="00E066E9">
              <w:rPr>
                <w:rFonts w:eastAsia="宋体" w:cs="宋体" w:hint="eastAsia"/>
                <w:sz w:val="21"/>
                <w:szCs w:val="21"/>
              </w:rPr>
              <w:t>QDII</w:t>
            </w:r>
            <w:r w:rsidRPr="00E066E9">
              <w:rPr>
                <w:rFonts w:eastAsia="宋体" w:cs="宋体" w:hint="eastAsia"/>
                <w:sz w:val="21"/>
                <w:szCs w:val="21"/>
              </w:rPr>
              <w:t>）招募说明书》及其更新</w:t>
            </w:r>
          </w:p>
        </w:tc>
      </w:tr>
      <w:tr w:rsidR="00DF1086" w:rsidRPr="00E066E9">
        <w:trPr>
          <w:jc w:val="center"/>
        </w:trPr>
        <w:tc>
          <w:tcPr>
            <w:tcW w:w="3053" w:type="dxa"/>
            <w:vMerge w:val="restart"/>
            <w:vAlign w:val="center"/>
          </w:tcPr>
          <w:p w:rsidR="00DF1086" w:rsidRPr="00E066E9" w:rsidRDefault="004F3F7F">
            <w:pPr>
              <w:rPr>
                <w:rFonts w:eastAsia="宋体" w:cs="宋体"/>
                <w:color w:val="000000"/>
                <w:sz w:val="21"/>
                <w:szCs w:val="21"/>
              </w:rPr>
            </w:pPr>
            <w:r>
              <w:rPr>
                <w:rFonts w:eastAsia="宋体" w:cs="宋体" w:hint="eastAsia"/>
                <w:color w:val="000000"/>
                <w:sz w:val="21"/>
                <w:szCs w:val="21"/>
              </w:rPr>
              <w:t>暂停相关业务的起始日</w:t>
            </w:r>
            <w:r w:rsidR="00DF1086" w:rsidRPr="00E066E9">
              <w:rPr>
                <w:rFonts w:eastAsia="宋体" w:cs="宋体" w:hint="eastAsia"/>
                <w:color w:val="000000"/>
                <w:sz w:val="21"/>
                <w:szCs w:val="21"/>
              </w:rPr>
              <w:t>及原因说明</w:t>
            </w:r>
          </w:p>
        </w:tc>
        <w:tc>
          <w:tcPr>
            <w:tcW w:w="2894" w:type="dxa"/>
          </w:tcPr>
          <w:p w:rsidR="00DF1086" w:rsidRPr="00E066E9" w:rsidRDefault="00DF1086">
            <w:pPr>
              <w:rPr>
                <w:rFonts w:eastAsia="宋体" w:cs="宋体"/>
                <w:color w:val="000000"/>
                <w:kern w:val="0"/>
                <w:sz w:val="21"/>
                <w:szCs w:val="21"/>
              </w:rPr>
            </w:pPr>
            <w:r w:rsidRPr="00E066E9">
              <w:rPr>
                <w:rFonts w:eastAsia="宋体" w:cs="宋体" w:hint="eastAsia"/>
                <w:color w:val="000000"/>
                <w:sz w:val="21"/>
                <w:szCs w:val="21"/>
              </w:rPr>
              <w:t>暂停申购起始日</w:t>
            </w:r>
          </w:p>
        </w:tc>
        <w:tc>
          <w:tcPr>
            <w:tcW w:w="3692" w:type="dxa"/>
            <w:gridSpan w:val="2"/>
            <w:vAlign w:val="center"/>
          </w:tcPr>
          <w:p w:rsidR="00DF1086" w:rsidRPr="00E066E9" w:rsidRDefault="00DF1086">
            <w:pPr>
              <w:rPr>
                <w:rFonts w:eastAsia="宋体" w:cs="宋体"/>
                <w:sz w:val="21"/>
                <w:szCs w:val="21"/>
              </w:rPr>
            </w:pPr>
            <w:r w:rsidRPr="00E066E9">
              <w:rPr>
                <w:rFonts w:eastAsia="宋体" w:cs="宋体" w:hint="eastAsia"/>
                <w:sz w:val="21"/>
                <w:szCs w:val="21"/>
              </w:rPr>
              <w:t>2025</w:t>
            </w:r>
            <w:r w:rsidRPr="00E066E9">
              <w:rPr>
                <w:rFonts w:eastAsia="宋体" w:cs="宋体" w:hint="eastAsia"/>
                <w:sz w:val="21"/>
                <w:szCs w:val="21"/>
              </w:rPr>
              <w:t>年</w:t>
            </w:r>
            <w:r w:rsidRPr="00E066E9">
              <w:rPr>
                <w:rFonts w:eastAsia="宋体" w:cs="宋体" w:hint="eastAsia"/>
                <w:sz w:val="21"/>
                <w:szCs w:val="21"/>
              </w:rPr>
              <w:t>12</w:t>
            </w:r>
            <w:r w:rsidRPr="00E066E9">
              <w:rPr>
                <w:rFonts w:eastAsia="宋体" w:cs="宋体" w:hint="eastAsia"/>
                <w:sz w:val="21"/>
                <w:szCs w:val="21"/>
              </w:rPr>
              <w:t>月</w:t>
            </w:r>
            <w:r w:rsidRPr="00E066E9">
              <w:rPr>
                <w:rFonts w:eastAsia="宋体" w:cs="宋体" w:hint="eastAsia"/>
                <w:sz w:val="21"/>
                <w:szCs w:val="21"/>
              </w:rPr>
              <w:t>31</w:t>
            </w:r>
            <w:r w:rsidRPr="00E066E9">
              <w:rPr>
                <w:rFonts w:eastAsia="宋体" w:cs="宋体" w:hint="eastAsia"/>
                <w:sz w:val="21"/>
                <w:szCs w:val="21"/>
              </w:rPr>
              <w:t>日</w:t>
            </w:r>
          </w:p>
        </w:tc>
      </w:tr>
      <w:tr w:rsidR="00DF1086" w:rsidRPr="00E066E9">
        <w:trPr>
          <w:jc w:val="center"/>
        </w:trPr>
        <w:tc>
          <w:tcPr>
            <w:tcW w:w="3053" w:type="dxa"/>
            <w:vMerge/>
          </w:tcPr>
          <w:p w:rsidR="00DF1086" w:rsidRPr="00E066E9" w:rsidRDefault="00DF1086">
            <w:pPr>
              <w:rPr>
                <w:rFonts w:eastAsia="宋体" w:cs="宋体"/>
                <w:color w:val="000000"/>
                <w:sz w:val="21"/>
                <w:szCs w:val="21"/>
              </w:rPr>
            </w:pPr>
          </w:p>
        </w:tc>
        <w:tc>
          <w:tcPr>
            <w:tcW w:w="2894" w:type="dxa"/>
          </w:tcPr>
          <w:p w:rsidR="00DF1086" w:rsidRPr="00E066E9" w:rsidRDefault="00DF1086">
            <w:pPr>
              <w:rPr>
                <w:rFonts w:eastAsia="宋体" w:cs="宋体"/>
                <w:color w:val="000000"/>
                <w:kern w:val="0"/>
                <w:sz w:val="21"/>
                <w:szCs w:val="21"/>
              </w:rPr>
            </w:pPr>
            <w:r w:rsidRPr="00E066E9">
              <w:rPr>
                <w:rFonts w:eastAsia="宋体" w:cs="宋体" w:hint="eastAsia"/>
                <w:color w:val="000000"/>
                <w:sz w:val="21"/>
                <w:szCs w:val="21"/>
              </w:rPr>
              <w:t>暂停赎回起始日</w:t>
            </w:r>
          </w:p>
        </w:tc>
        <w:tc>
          <w:tcPr>
            <w:tcW w:w="3692" w:type="dxa"/>
            <w:gridSpan w:val="2"/>
            <w:vAlign w:val="center"/>
          </w:tcPr>
          <w:p w:rsidR="00DF1086" w:rsidRPr="00E066E9" w:rsidRDefault="00DF1086">
            <w:pPr>
              <w:rPr>
                <w:rFonts w:eastAsia="宋体" w:cs="宋体"/>
                <w:sz w:val="21"/>
                <w:szCs w:val="21"/>
              </w:rPr>
            </w:pPr>
            <w:r w:rsidRPr="00E066E9">
              <w:rPr>
                <w:rFonts w:eastAsia="宋体" w:cs="宋体" w:hint="eastAsia"/>
                <w:sz w:val="21"/>
                <w:szCs w:val="21"/>
              </w:rPr>
              <w:t>2025</w:t>
            </w:r>
            <w:r w:rsidRPr="00E066E9">
              <w:rPr>
                <w:rFonts w:eastAsia="宋体" w:cs="宋体" w:hint="eastAsia"/>
                <w:sz w:val="21"/>
                <w:szCs w:val="21"/>
              </w:rPr>
              <w:t>年</w:t>
            </w:r>
            <w:r w:rsidRPr="00E066E9">
              <w:rPr>
                <w:rFonts w:eastAsia="宋体" w:cs="宋体" w:hint="eastAsia"/>
                <w:sz w:val="21"/>
                <w:szCs w:val="21"/>
              </w:rPr>
              <w:t>12</w:t>
            </w:r>
            <w:r w:rsidRPr="00E066E9">
              <w:rPr>
                <w:rFonts w:eastAsia="宋体" w:cs="宋体" w:hint="eastAsia"/>
                <w:sz w:val="21"/>
                <w:szCs w:val="21"/>
              </w:rPr>
              <w:t>月</w:t>
            </w:r>
            <w:r w:rsidRPr="00E066E9">
              <w:rPr>
                <w:rFonts w:eastAsia="宋体" w:cs="宋体" w:hint="eastAsia"/>
                <w:sz w:val="21"/>
                <w:szCs w:val="21"/>
              </w:rPr>
              <w:t>31</w:t>
            </w:r>
            <w:r w:rsidRPr="00E066E9">
              <w:rPr>
                <w:rFonts w:eastAsia="宋体" w:cs="宋体" w:hint="eastAsia"/>
                <w:sz w:val="21"/>
                <w:szCs w:val="21"/>
              </w:rPr>
              <w:t>日</w:t>
            </w:r>
          </w:p>
        </w:tc>
      </w:tr>
      <w:tr w:rsidR="00DF1086" w:rsidRPr="00E066E9">
        <w:trPr>
          <w:gridAfter w:val="1"/>
          <w:wAfter w:w="6" w:type="dxa"/>
          <w:jc w:val="center"/>
        </w:trPr>
        <w:tc>
          <w:tcPr>
            <w:tcW w:w="3053" w:type="dxa"/>
            <w:vMerge/>
          </w:tcPr>
          <w:p w:rsidR="00DF1086" w:rsidRPr="00E066E9" w:rsidRDefault="00DF1086">
            <w:pPr>
              <w:rPr>
                <w:rFonts w:eastAsia="宋体" w:cs="宋体"/>
                <w:color w:val="000000"/>
                <w:sz w:val="21"/>
                <w:szCs w:val="21"/>
              </w:rPr>
            </w:pPr>
          </w:p>
        </w:tc>
        <w:tc>
          <w:tcPr>
            <w:tcW w:w="2894" w:type="dxa"/>
          </w:tcPr>
          <w:p w:rsidR="00DF1086" w:rsidRPr="00E066E9" w:rsidRDefault="00DF1086" w:rsidP="004F3F7F">
            <w:pPr>
              <w:rPr>
                <w:rFonts w:eastAsia="宋体" w:cs="宋体"/>
                <w:color w:val="000000"/>
                <w:kern w:val="0"/>
                <w:sz w:val="21"/>
                <w:szCs w:val="21"/>
              </w:rPr>
            </w:pPr>
            <w:r w:rsidRPr="00E066E9">
              <w:rPr>
                <w:rFonts w:eastAsia="宋体" w:cs="宋体" w:hint="eastAsia"/>
                <w:color w:val="000000"/>
                <w:sz w:val="21"/>
                <w:szCs w:val="21"/>
              </w:rPr>
              <w:t>暂停申购、赎回的原因说明</w:t>
            </w:r>
          </w:p>
        </w:tc>
        <w:tc>
          <w:tcPr>
            <w:tcW w:w="3686" w:type="dxa"/>
          </w:tcPr>
          <w:p w:rsidR="00DF1086" w:rsidRPr="00E066E9" w:rsidRDefault="00DF1086">
            <w:pPr>
              <w:rPr>
                <w:rFonts w:eastAsia="宋体" w:cs="宋体"/>
                <w:sz w:val="21"/>
                <w:szCs w:val="21"/>
              </w:rPr>
            </w:pPr>
            <w:r w:rsidRPr="00E066E9">
              <w:rPr>
                <w:rFonts w:eastAsia="宋体" w:cs="宋体" w:hint="eastAsia"/>
                <w:sz w:val="21"/>
                <w:szCs w:val="21"/>
              </w:rPr>
              <w:t>根据中国香港证券市场节假日休市安排，保护现有基金份额持有人的利益，保障基金平稳运作。</w:t>
            </w:r>
          </w:p>
        </w:tc>
      </w:tr>
    </w:tbl>
    <w:p w:rsidR="00556E47" w:rsidRDefault="005C005B">
      <w:pPr>
        <w:rPr>
          <w:rFonts w:eastAsia="宋体" w:cs="宋体"/>
          <w:sz w:val="21"/>
          <w:szCs w:val="21"/>
        </w:rPr>
      </w:pPr>
      <w:r>
        <w:rPr>
          <w:rFonts w:eastAsia="宋体" w:cs="宋体" w:hint="eastAsia"/>
          <w:sz w:val="21"/>
          <w:szCs w:val="21"/>
        </w:rPr>
        <w:t>注：①</w:t>
      </w:r>
      <w:r>
        <w:rPr>
          <w:rFonts w:eastAsia="宋体" w:cs="宋体" w:hint="eastAsia"/>
          <w:sz w:val="21"/>
          <w:szCs w:val="21"/>
        </w:rPr>
        <w:t>2025</w:t>
      </w:r>
      <w:r>
        <w:rPr>
          <w:rFonts w:eastAsia="宋体" w:cs="宋体" w:hint="eastAsia"/>
          <w:sz w:val="21"/>
          <w:szCs w:val="21"/>
        </w:rPr>
        <w:t>年</w:t>
      </w:r>
      <w:r>
        <w:rPr>
          <w:rFonts w:eastAsia="宋体" w:cs="宋体" w:hint="eastAsia"/>
          <w:sz w:val="21"/>
          <w:szCs w:val="21"/>
        </w:rPr>
        <w:t>12</w:t>
      </w:r>
      <w:r>
        <w:rPr>
          <w:rFonts w:eastAsia="宋体" w:cs="宋体" w:hint="eastAsia"/>
          <w:sz w:val="21"/>
          <w:szCs w:val="21"/>
        </w:rPr>
        <w:t>月</w:t>
      </w:r>
      <w:r>
        <w:rPr>
          <w:rFonts w:eastAsia="宋体" w:cs="宋体" w:hint="eastAsia"/>
          <w:sz w:val="21"/>
          <w:szCs w:val="21"/>
        </w:rPr>
        <w:t>31</w:t>
      </w:r>
      <w:r>
        <w:rPr>
          <w:rFonts w:eastAsia="宋体" w:cs="宋体" w:hint="eastAsia"/>
          <w:sz w:val="21"/>
          <w:szCs w:val="21"/>
        </w:rPr>
        <w:t>日下午为香港节假日。</w:t>
      </w:r>
    </w:p>
    <w:p w:rsidR="00556E47" w:rsidRDefault="005C005B">
      <w:pPr>
        <w:rPr>
          <w:rFonts w:eastAsia="宋体" w:cs="宋体"/>
          <w:sz w:val="21"/>
          <w:szCs w:val="21"/>
        </w:rPr>
      </w:pPr>
      <w:r>
        <w:rPr>
          <w:rFonts w:eastAsia="宋体" w:cs="宋体" w:hint="eastAsia"/>
          <w:sz w:val="21"/>
          <w:szCs w:val="21"/>
        </w:rPr>
        <w:t>②根据基金境外主要投资场所节假日休市安排，为满足投资者的投资需求，自</w:t>
      </w:r>
      <w:r>
        <w:rPr>
          <w:rFonts w:eastAsia="宋体" w:cs="宋体" w:hint="eastAsia"/>
          <w:sz w:val="21"/>
          <w:szCs w:val="21"/>
        </w:rPr>
        <w:t>2026</w:t>
      </w:r>
      <w:r>
        <w:rPr>
          <w:rFonts w:eastAsia="宋体" w:cs="宋体" w:hint="eastAsia"/>
          <w:sz w:val="21"/>
          <w:szCs w:val="21"/>
        </w:rPr>
        <w:t>年</w:t>
      </w:r>
      <w:r>
        <w:rPr>
          <w:rFonts w:eastAsia="宋体" w:cs="宋体" w:hint="eastAsia"/>
          <w:sz w:val="21"/>
          <w:szCs w:val="21"/>
        </w:rPr>
        <w:t>1</w:t>
      </w:r>
      <w:r>
        <w:rPr>
          <w:rFonts w:eastAsia="宋体" w:cs="宋体" w:hint="eastAsia"/>
          <w:sz w:val="21"/>
          <w:szCs w:val="21"/>
        </w:rPr>
        <w:t>月</w:t>
      </w:r>
      <w:r>
        <w:rPr>
          <w:rFonts w:eastAsia="宋体" w:cs="宋体" w:hint="eastAsia"/>
          <w:sz w:val="21"/>
          <w:szCs w:val="21"/>
        </w:rPr>
        <w:t>5</w:t>
      </w:r>
      <w:r>
        <w:rPr>
          <w:rFonts w:eastAsia="宋体" w:cs="宋体" w:hint="eastAsia"/>
          <w:sz w:val="21"/>
          <w:szCs w:val="21"/>
        </w:rPr>
        <w:t>日起本基金恢复办理申购、赎回业务，届时本公司将不再另行公告。</w:t>
      </w:r>
    </w:p>
    <w:p w:rsidR="0033438F" w:rsidRPr="00E066E9" w:rsidRDefault="00DF1086">
      <w:pPr>
        <w:rPr>
          <w:rFonts w:eastAsia="宋体" w:cs="宋体"/>
          <w:sz w:val="21"/>
          <w:szCs w:val="21"/>
        </w:rPr>
      </w:pPr>
      <w:r w:rsidRPr="00E066E9">
        <w:rPr>
          <w:rFonts w:eastAsia="宋体" w:cs="宋体" w:hint="eastAsia"/>
          <w:sz w:val="21"/>
          <w:szCs w:val="21"/>
        </w:rPr>
        <w:t>③场内简称：恒生医药</w:t>
      </w:r>
      <w:r w:rsidRPr="00E066E9">
        <w:rPr>
          <w:rFonts w:eastAsia="宋体" w:cs="宋体" w:hint="eastAsia"/>
          <w:sz w:val="21"/>
          <w:szCs w:val="21"/>
        </w:rPr>
        <w:t>ETF</w:t>
      </w:r>
    </w:p>
    <w:p w:rsidR="0033438F" w:rsidRPr="00E066E9" w:rsidRDefault="00DF1086">
      <w:pPr>
        <w:pStyle w:val="2"/>
        <w:spacing w:line="240" w:lineRule="auto"/>
        <w:rPr>
          <w:rFonts w:ascii="Times New Roman" w:eastAsiaTheme="minorEastAsia" w:hAnsi="Times New Roman"/>
          <w:bCs w:val="0"/>
          <w:color w:val="000000"/>
          <w:sz w:val="24"/>
          <w:szCs w:val="24"/>
        </w:rPr>
      </w:pPr>
      <w:bookmarkStart w:id="2" w:name="_Toc275961406"/>
      <w:r w:rsidRPr="00E066E9">
        <w:rPr>
          <w:rFonts w:ascii="Times New Roman" w:eastAsiaTheme="minorEastAsia" w:hAnsi="Times New Roman" w:hint="eastAsia"/>
          <w:bCs w:val="0"/>
          <w:color w:val="000000"/>
          <w:sz w:val="24"/>
          <w:szCs w:val="24"/>
        </w:rPr>
        <w:t xml:space="preserve"> </w:t>
      </w:r>
      <w:r w:rsidRPr="00E066E9">
        <w:rPr>
          <w:rFonts w:ascii="Times New Roman" w:eastAsiaTheme="minorEastAsia" w:hAnsi="Times New Roman"/>
          <w:bCs w:val="0"/>
          <w:color w:val="000000"/>
          <w:sz w:val="24"/>
          <w:szCs w:val="24"/>
        </w:rPr>
        <w:t>2</w:t>
      </w:r>
      <w:r w:rsidRPr="00E066E9">
        <w:rPr>
          <w:rFonts w:ascii="Times New Roman" w:eastAsiaTheme="minorEastAsia" w:hAnsi="Times New Roman"/>
          <w:bCs w:val="0"/>
          <w:color w:val="000000"/>
          <w:sz w:val="24"/>
          <w:szCs w:val="24"/>
        </w:rPr>
        <w:t>其他需要提示的事项</w:t>
      </w:r>
      <w:bookmarkEnd w:id="2"/>
    </w:p>
    <w:p w:rsidR="00556E47" w:rsidRDefault="005C005B">
      <w:pPr>
        <w:spacing w:line="360" w:lineRule="auto"/>
        <w:ind w:firstLineChars="200" w:firstLine="480"/>
        <w:rPr>
          <w:rFonts w:eastAsiaTheme="minorEastAsia"/>
          <w:sz w:val="24"/>
          <w:szCs w:val="24"/>
        </w:rPr>
      </w:pPr>
      <w:r>
        <w:rPr>
          <w:rFonts w:eastAsiaTheme="minorEastAsia"/>
          <w:sz w:val="24"/>
          <w:szCs w:val="24"/>
        </w:rPr>
        <w:t>2.1</w:t>
      </w:r>
      <w:r>
        <w:rPr>
          <w:rFonts w:eastAsiaTheme="minorEastAsia"/>
          <w:sz w:val="24"/>
          <w:szCs w:val="24"/>
        </w:rPr>
        <w:t>投资者在</w:t>
      </w:r>
      <w:r>
        <w:rPr>
          <w:rFonts w:eastAsiaTheme="minorEastAsia"/>
          <w:sz w:val="24"/>
          <w:szCs w:val="24"/>
        </w:rPr>
        <w:t>2025</w:t>
      </w:r>
      <w:r>
        <w:rPr>
          <w:rFonts w:eastAsiaTheme="minorEastAsia"/>
          <w:sz w:val="24"/>
          <w:szCs w:val="24"/>
        </w:rPr>
        <w:t>年</w:t>
      </w:r>
      <w:r>
        <w:rPr>
          <w:rFonts w:eastAsiaTheme="minorEastAsia"/>
          <w:sz w:val="24"/>
          <w:szCs w:val="24"/>
        </w:rPr>
        <w:t>12</w:t>
      </w:r>
      <w:r>
        <w:rPr>
          <w:rFonts w:eastAsiaTheme="minorEastAsia"/>
          <w:sz w:val="24"/>
          <w:szCs w:val="24"/>
        </w:rPr>
        <w:t>月</w:t>
      </w:r>
      <w:r>
        <w:rPr>
          <w:rFonts w:eastAsiaTheme="minorEastAsia"/>
          <w:sz w:val="24"/>
          <w:szCs w:val="24"/>
        </w:rPr>
        <w:t>31</w:t>
      </w:r>
      <w:r>
        <w:rPr>
          <w:rFonts w:eastAsiaTheme="minorEastAsia"/>
          <w:sz w:val="24"/>
          <w:szCs w:val="24"/>
        </w:rPr>
        <w:t>日仍可进行本基金的二级市场交易。</w:t>
      </w:r>
    </w:p>
    <w:p w:rsidR="00556E47" w:rsidRDefault="005C005B">
      <w:pPr>
        <w:spacing w:line="360" w:lineRule="auto"/>
        <w:ind w:firstLineChars="200" w:firstLine="480"/>
        <w:rPr>
          <w:rFonts w:eastAsiaTheme="minorEastAsia"/>
          <w:sz w:val="24"/>
          <w:szCs w:val="24"/>
        </w:rPr>
      </w:pPr>
      <w:r>
        <w:rPr>
          <w:rFonts w:eastAsiaTheme="minorEastAsia"/>
          <w:sz w:val="24"/>
          <w:szCs w:val="24"/>
        </w:rPr>
        <w:t>2.2</w:t>
      </w:r>
      <w:r>
        <w:rPr>
          <w:rFonts w:eastAsiaTheme="minorEastAsia"/>
          <w:sz w:val="24"/>
          <w:szCs w:val="24"/>
        </w:rPr>
        <w:t>本基金自</w:t>
      </w:r>
      <w:r>
        <w:rPr>
          <w:rFonts w:eastAsiaTheme="minorEastAsia"/>
          <w:sz w:val="24"/>
          <w:szCs w:val="24"/>
        </w:rPr>
        <w:t>2026</w:t>
      </w:r>
      <w:r>
        <w:rPr>
          <w:rFonts w:eastAsiaTheme="minorEastAsia"/>
          <w:sz w:val="24"/>
          <w:szCs w:val="24"/>
        </w:rPr>
        <w:t>年</w:t>
      </w:r>
      <w:r>
        <w:rPr>
          <w:rFonts w:eastAsiaTheme="minorEastAsia"/>
          <w:sz w:val="24"/>
          <w:szCs w:val="24"/>
        </w:rPr>
        <w:t>1</w:t>
      </w:r>
      <w:r>
        <w:rPr>
          <w:rFonts w:eastAsiaTheme="minorEastAsia"/>
          <w:sz w:val="24"/>
          <w:szCs w:val="24"/>
        </w:rPr>
        <w:t>月</w:t>
      </w:r>
      <w:r>
        <w:rPr>
          <w:rFonts w:eastAsiaTheme="minorEastAsia"/>
          <w:sz w:val="24"/>
          <w:szCs w:val="24"/>
        </w:rPr>
        <w:t>5</w:t>
      </w:r>
      <w:r>
        <w:rPr>
          <w:rFonts w:eastAsiaTheme="minorEastAsia"/>
          <w:sz w:val="24"/>
          <w:szCs w:val="24"/>
        </w:rPr>
        <w:t>日起恢复办理申购、赎回业务，届时本公司将不再另行公告。本公告为因境外主要投资场所节假日休市安排暂停和后续恢复相关业务的说明，本基金如因其他原因暂停</w:t>
      </w:r>
      <w:r>
        <w:rPr>
          <w:rFonts w:eastAsiaTheme="minorEastAsia"/>
          <w:sz w:val="24"/>
          <w:szCs w:val="24"/>
        </w:rPr>
        <w:t>/</w:t>
      </w:r>
      <w:r>
        <w:rPr>
          <w:rFonts w:eastAsiaTheme="minorEastAsia"/>
          <w:sz w:val="24"/>
          <w:szCs w:val="24"/>
        </w:rPr>
        <w:t>恢复申购、赎回业务，具体业务办理以相关公告为准。</w:t>
      </w:r>
    </w:p>
    <w:p w:rsidR="00556E47" w:rsidRDefault="005C005B">
      <w:pPr>
        <w:spacing w:line="360" w:lineRule="auto"/>
        <w:ind w:firstLineChars="200" w:firstLine="480"/>
        <w:rPr>
          <w:rFonts w:eastAsiaTheme="minorEastAsia"/>
          <w:sz w:val="24"/>
          <w:szCs w:val="24"/>
        </w:rPr>
      </w:pPr>
      <w:r>
        <w:rPr>
          <w:rFonts w:eastAsiaTheme="minorEastAsia"/>
          <w:sz w:val="24"/>
          <w:szCs w:val="24"/>
        </w:rPr>
        <w:t>2.3</w:t>
      </w:r>
      <w:r>
        <w:rPr>
          <w:rFonts w:eastAsiaTheme="minorEastAsia"/>
          <w:sz w:val="24"/>
          <w:szCs w:val="24"/>
        </w:rPr>
        <w:t>若节假日安排、中国香港证券市场状况等发生变化，或根据法律法规、基金合同等规定需要调整上述事项的，本公司将相应调整并及时公告。为避免因香港假期等原因带来的不便，敬请投资者提前进行相关业务安排。</w:t>
      </w:r>
    </w:p>
    <w:p w:rsidR="00556E47" w:rsidRDefault="005C005B">
      <w:pPr>
        <w:spacing w:line="360" w:lineRule="auto"/>
        <w:ind w:firstLineChars="200" w:firstLine="480"/>
        <w:rPr>
          <w:rFonts w:eastAsiaTheme="minorEastAsia"/>
          <w:sz w:val="24"/>
          <w:szCs w:val="24"/>
        </w:rPr>
      </w:pPr>
      <w:r>
        <w:rPr>
          <w:rFonts w:eastAsiaTheme="minorEastAsia"/>
          <w:sz w:val="24"/>
          <w:szCs w:val="24"/>
        </w:rPr>
        <w:t>投资者可登录本公司网站（</w:t>
      </w:r>
      <w:r>
        <w:rPr>
          <w:rFonts w:eastAsiaTheme="minorEastAsia"/>
          <w:sz w:val="24"/>
          <w:szCs w:val="24"/>
        </w:rPr>
        <w:t>www.ChinaAMC.com</w:t>
      </w:r>
      <w:r>
        <w:rPr>
          <w:rFonts w:eastAsiaTheme="minorEastAsia"/>
          <w:sz w:val="24"/>
          <w:szCs w:val="24"/>
        </w:rPr>
        <w:t>）或拨打本公司客户服务电话（</w:t>
      </w:r>
      <w:r>
        <w:rPr>
          <w:rFonts w:eastAsiaTheme="minorEastAsia"/>
          <w:sz w:val="24"/>
          <w:szCs w:val="24"/>
        </w:rPr>
        <w:t>400-818-6666</w:t>
      </w:r>
      <w:r>
        <w:rPr>
          <w:rFonts w:eastAsiaTheme="minorEastAsia"/>
          <w:sz w:val="24"/>
          <w:szCs w:val="24"/>
        </w:rPr>
        <w:t>）获取相关信息。</w:t>
      </w:r>
    </w:p>
    <w:p w:rsidR="00556E47" w:rsidRDefault="005C005B">
      <w:pPr>
        <w:spacing w:line="360" w:lineRule="auto"/>
        <w:ind w:firstLineChars="200" w:firstLine="480"/>
        <w:rPr>
          <w:rFonts w:eastAsiaTheme="minorEastAsia"/>
          <w:sz w:val="24"/>
          <w:szCs w:val="24"/>
        </w:rPr>
      </w:pPr>
      <w:r>
        <w:rPr>
          <w:rFonts w:eastAsiaTheme="minorEastAsia"/>
          <w:sz w:val="24"/>
          <w:szCs w:val="24"/>
        </w:rPr>
        <w:t>特此公告</w:t>
      </w:r>
    </w:p>
    <w:p w:rsidR="00556E47" w:rsidRDefault="005C005B">
      <w:pPr>
        <w:spacing w:line="360" w:lineRule="auto"/>
        <w:ind w:firstLineChars="200" w:firstLine="480"/>
        <w:rPr>
          <w:rFonts w:eastAsiaTheme="minorEastAsia"/>
          <w:sz w:val="24"/>
          <w:szCs w:val="24"/>
        </w:rPr>
      </w:pPr>
      <w:r>
        <w:rPr>
          <w:rFonts w:eastAsiaTheme="minorEastAsia"/>
          <w:sz w:val="24"/>
          <w:szCs w:val="24"/>
        </w:rPr>
        <w:lastRenderedPageBreak/>
        <w:t xml:space="preserve">    </w:t>
      </w:r>
    </w:p>
    <w:p w:rsidR="00556E47" w:rsidRDefault="005C005B">
      <w:pPr>
        <w:spacing w:line="360" w:lineRule="auto"/>
        <w:ind w:firstLineChars="200" w:firstLine="480"/>
        <w:rPr>
          <w:rFonts w:eastAsiaTheme="minorEastAsia"/>
          <w:sz w:val="24"/>
          <w:szCs w:val="24"/>
        </w:rPr>
      </w:pPr>
      <w:r>
        <w:rPr>
          <w:rFonts w:eastAsiaTheme="minorEastAsia"/>
          <w:sz w:val="24"/>
          <w:szCs w:val="24"/>
        </w:rPr>
        <w:t xml:space="preserve">    </w:t>
      </w:r>
    </w:p>
    <w:p w:rsidR="00556E47" w:rsidRDefault="005C005B" w:rsidP="005C005B">
      <w:pPr>
        <w:spacing w:line="360" w:lineRule="auto"/>
        <w:ind w:firstLineChars="200" w:firstLine="480"/>
        <w:jc w:val="right"/>
        <w:rPr>
          <w:rFonts w:eastAsiaTheme="minorEastAsia"/>
          <w:sz w:val="24"/>
          <w:szCs w:val="24"/>
        </w:rPr>
      </w:pPr>
      <w:r>
        <w:rPr>
          <w:rFonts w:eastAsiaTheme="minorEastAsia"/>
          <w:sz w:val="24"/>
          <w:szCs w:val="24"/>
        </w:rPr>
        <w:t xml:space="preserve">                                           </w:t>
      </w:r>
      <w:r>
        <w:rPr>
          <w:rFonts w:eastAsiaTheme="minorEastAsia"/>
          <w:sz w:val="24"/>
          <w:szCs w:val="24"/>
        </w:rPr>
        <w:t>华夏基金管理有限公司</w:t>
      </w:r>
    </w:p>
    <w:p w:rsidR="0033438F" w:rsidRPr="00E066E9" w:rsidRDefault="00DF1086" w:rsidP="005C005B">
      <w:pPr>
        <w:spacing w:line="360" w:lineRule="auto"/>
        <w:ind w:firstLineChars="200" w:firstLine="480"/>
        <w:jc w:val="right"/>
        <w:rPr>
          <w:rFonts w:eastAsiaTheme="minorEastAsia"/>
          <w:sz w:val="24"/>
          <w:szCs w:val="24"/>
        </w:rPr>
      </w:pPr>
      <w:r w:rsidRPr="00E066E9">
        <w:rPr>
          <w:rFonts w:eastAsiaTheme="minorEastAsia"/>
          <w:sz w:val="24"/>
          <w:szCs w:val="24"/>
        </w:rPr>
        <w:t xml:space="preserve">                                         </w:t>
      </w:r>
      <w:r w:rsidRPr="00E066E9">
        <w:rPr>
          <w:rFonts w:eastAsiaTheme="minorEastAsia"/>
          <w:sz w:val="24"/>
          <w:szCs w:val="24"/>
        </w:rPr>
        <w:t>二〇二五年十二月二十九日</w:t>
      </w:r>
    </w:p>
    <w:sectPr w:rsidR="0033438F" w:rsidRPr="00E066E9" w:rsidSect="005B5B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980" w:rsidRDefault="000C4980" w:rsidP="00F16DEF">
      <w:r>
        <w:separator/>
      </w:r>
    </w:p>
  </w:endnote>
  <w:endnote w:type="continuationSeparator" w:id="0">
    <w:p w:rsidR="000C4980" w:rsidRDefault="000C4980" w:rsidP="00F16D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980" w:rsidRDefault="000C4980" w:rsidP="00F16DEF">
      <w:r>
        <w:separator/>
      </w:r>
    </w:p>
  </w:footnote>
  <w:footnote w:type="continuationSeparator" w:id="0">
    <w:p w:rsidR="000C4980" w:rsidRDefault="000C4980" w:rsidP="00F16D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27FA"/>
    <w:rsid w:val="00041353"/>
    <w:rsid w:val="000C4980"/>
    <w:rsid w:val="000D472C"/>
    <w:rsid w:val="000E4CBF"/>
    <w:rsid w:val="000F55E1"/>
    <w:rsid w:val="0013025A"/>
    <w:rsid w:val="00180DA3"/>
    <w:rsid w:val="001B4F9F"/>
    <w:rsid w:val="001D3B58"/>
    <w:rsid w:val="00245724"/>
    <w:rsid w:val="00285347"/>
    <w:rsid w:val="002935EF"/>
    <w:rsid w:val="00297148"/>
    <w:rsid w:val="002A6277"/>
    <w:rsid w:val="002F7241"/>
    <w:rsid w:val="00327DA7"/>
    <w:rsid w:val="0033438F"/>
    <w:rsid w:val="0033476C"/>
    <w:rsid w:val="0036784E"/>
    <w:rsid w:val="003D0DCF"/>
    <w:rsid w:val="003D3818"/>
    <w:rsid w:val="004966BA"/>
    <w:rsid w:val="004B1D96"/>
    <w:rsid w:val="004D6346"/>
    <w:rsid w:val="004F0521"/>
    <w:rsid w:val="004F3F7F"/>
    <w:rsid w:val="004F51E8"/>
    <w:rsid w:val="005144DA"/>
    <w:rsid w:val="00536E8E"/>
    <w:rsid w:val="0055497B"/>
    <w:rsid w:val="00556E47"/>
    <w:rsid w:val="005B5B4A"/>
    <w:rsid w:val="005C005B"/>
    <w:rsid w:val="005F2DBE"/>
    <w:rsid w:val="00603A93"/>
    <w:rsid w:val="00633C51"/>
    <w:rsid w:val="00646522"/>
    <w:rsid w:val="00663031"/>
    <w:rsid w:val="006A0A5E"/>
    <w:rsid w:val="0073228C"/>
    <w:rsid w:val="00753E39"/>
    <w:rsid w:val="00762FED"/>
    <w:rsid w:val="00770DB7"/>
    <w:rsid w:val="007B0250"/>
    <w:rsid w:val="007B1D31"/>
    <w:rsid w:val="008472DB"/>
    <w:rsid w:val="008644F8"/>
    <w:rsid w:val="008712F5"/>
    <w:rsid w:val="008D6773"/>
    <w:rsid w:val="00956B0F"/>
    <w:rsid w:val="009C5858"/>
    <w:rsid w:val="00A2638C"/>
    <w:rsid w:val="00A428CE"/>
    <w:rsid w:val="00A5414E"/>
    <w:rsid w:val="00AD7BDD"/>
    <w:rsid w:val="00AF024E"/>
    <w:rsid w:val="00B101F7"/>
    <w:rsid w:val="00B872E5"/>
    <w:rsid w:val="00BD545A"/>
    <w:rsid w:val="00BD601B"/>
    <w:rsid w:val="00C70EDA"/>
    <w:rsid w:val="00D114B7"/>
    <w:rsid w:val="00D1480F"/>
    <w:rsid w:val="00D327FA"/>
    <w:rsid w:val="00DD22A8"/>
    <w:rsid w:val="00DF1086"/>
    <w:rsid w:val="00E066E9"/>
    <w:rsid w:val="00E42FE9"/>
    <w:rsid w:val="00E711CB"/>
    <w:rsid w:val="00E830A4"/>
    <w:rsid w:val="00EE1823"/>
    <w:rsid w:val="00F15B17"/>
    <w:rsid w:val="00F16DEF"/>
    <w:rsid w:val="00F64447"/>
    <w:rsid w:val="060A593C"/>
    <w:rsid w:val="0DE56333"/>
    <w:rsid w:val="211D5C00"/>
    <w:rsid w:val="22021CD3"/>
    <w:rsid w:val="2238303A"/>
    <w:rsid w:val="3AC43029"/>
    <w:rsid w:val="3EB66D20"/>
    <w:rsid w:val="579B1531"/>
    <w:rsid w:val="61F93CBF"/>
    <w:rsid w:val="6BB00E40"/>
    <w:rsid w:val="77F827CC"/>
    <w:rsid w:val="7EDA74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B4A"/>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5B5B4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5B5B4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B5B4A"/>
    <w:rPr>
      <w:sz w:val="18"/>
      <w:szCs w:val="18"/>
    </w:rPr>
  </w:style>
  <w:style w:type="paragraph" w:styleId="a4">
    <w:name w:val="footer"/>
    <w:basedOn w:val="a"/>
    <w:link w:val="Char0"/>
    <w:uiPriority w:val="99"/>
    <w:unhideWhenUsed/>
    <w:qFormat/>
    <w:rsid w:val="005B5B4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B5B4A"/>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rsid w:val="005B5B4A"/>
    <w:pPr>
      <w:snapToGrid w:val="0"/>
      <w:jc w:val="left"/>
    </w:pPr>
    <w:rPr>
      <w:rFonts w:eastAsia="宋体"/>
      <w:sz w:val="18"/>
    </w:rPr>
  </w:style>
  <w:style w:type="character" w:styleId="a7">
    <w:name w:val="footnote reference"/>
    <w:basedOn w:val="a0"/>
    <w:qFormat/>
    <w:rsid w:val="005B5B4A"/>
    <w:rPr>
      <w:vertAlign w:val="superscript"/>
    </w:rPr>
  </w:style>
  <w:style w:type="character" w:customStyle="1" w:styleId="1Char">
    <w:name w:val="标题 1 Char"/>
    <w:basedOn w:val="a0"/>
    <w:link w:val="1"/>
    <w:qFormat/>
    <w:rsid w:val="005B5B4A"/>
    <w:rPr>
      <w:rFonts w:ascii="Times New Roman" w:eastAsia="宋体" w:hAnsi="Times New Roman" w:cs="Times New Roman"/>
      <w:b/>
      <w:bCs/>
      <w:kern w:val="44"/>
      <w:sz w:val="44"/>
      <w:szCs w:val="44"/>
    </w:rPr>
  </w:style>
  <w:style w:type="character" w:customStyle="1" w:styleId="2Char">
    <w:name w:val="标题 2 Char"/>
    <w:basedOn w:val="a0"/>
    <w:link w:val="2"/>
    <w:qFormat/>
    <w:rsid w:val="005B5B4A"/>
    <w:rPr>
      <w:rFonts w:ascii="Arial" w:eastAsia="黑体" w:hAnsi="Arial" w:cs="Times New Roman"/>
      <w:b/>
      <w:bCs/>
      <w:sz w:val="32"/>
      <w:szCs w:val="32"/>
    </w:rPr>
  </w:style>
  <w:style w:type="character" w:customStyle="1" w:styleId="Char2">
    <w:name w:val="脚注文本 Char"/>
    <w:basedOn w:val="a0"/>
    <w:link w:val="a6"/>
    <w:qFormat/>
    <w:rsid w:val="005B5B4A"/>
    <w:rPr>
      <w:rFonts w:ascii="Times New Roman" w:eastAsia="宋体" w:hAnsi="Times New Roman" w:cs="Times New Roman"/>
      <w:sz w:val="18"/>
      <w:szCs w:val="20"/>
    </w:rPr>
  </w:style>
  <w:style w:type="character" w:customStyle="1" w:styleId="Char">
    <w:name w:val="批注框文本 Char"/>
    <w:basedOn w:val="a0"/>
    <w:link w:val="a3"/>
    <w:uiPriority w:val="99"/>
    <w:semiHidden/>
    <w:qFormat/>
    <w:rsid w:val="005B5B4A"/>
    <w:rPr>
      <w:rFonts w:ascii="Times New Roman" w:eastAsia="方正仿宋简体" w:hAnsi="Times New Roman" w:cs="Times New Roman"/>
      <w:sz w:val="18"/>
      <w:szCs w:val="18"/>
    </w:rPr>
  </w:style>
  <w:style w:type="character" w:customStyle="1" w:styleId="Char1">
    <w:name w:val="页眉 Char"/>
    <w:basedOn w:val="a0"/>
    <w:link w:val="a5"/>
    <w:uiPriority w:val="99"/>
    <w:qFormat/>
    <w:rsid w:val="005B5B4A"/>
    <w:rPr>
      <w:rFonts w:ascii="Times New Roman" w:eastAsia="方正仿宋简体" w:hAnsi="Times New Roman" w:cs="Times New Roman"/>
      <w:sz w:val="18"/>
      <w:szCs w:val="18"/>
    </w:rPr>
  </w:style>
  <w:style w:type="character" w:customStyle="1" w:styleId="Char0">
    <w:name w:val="页脚 Char"/>
    <w:basedOn w:val="a0"/>
    <w:link w:val="a4"/>
    <w:uiPriority w:val="99"/>
    <w:qFormat/>
    <w:rsid w:val="005B5B4A"/>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780</Characters>
  <Application>Microsoft Office Word</Application>
  <DocSecurity>4</DocSecurity>
  <Lines>6</Lines>
  <Paragraphs>1</Paragraphs>
  <ScaleCrop>false</ScaleCrop>
  <Company>微软中国</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2025-12-28T16:02:00Z</dcterms:created>
  <dcterms:modified xsi:type="dcterms:W3CDTF">2025-12-28T16:02:00Z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1F243F9D657D4DB685140B8C071ABF42</vt:lpwstr>
  </property>
</Properties>
</file>