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0A" w:rsidRDefault="000D533C">
      <w:pPr>
        <w:jc w:val="center"/>
        <w:rPr>
          <w:sz w:val="30"/>
          <w:szCs w:val="30"/>
        </w:rPr>
      </w:pPr>
      <w:r>
        <w:rPr>
          <w:rFonts w:hint="eastAsia"/>
          <w:sz w:val="30"/>
          <w:szCs w:val="30"/>
        </w:rPr>
        <w:t>华安基金管理有限公司</w:t>
      </w:r>
    </w:p>
    <w:p w:rsidR="00E61F0A" w:rsidRDefault="000D533C">
      <w:pPr>
        <w:jc w:val="center"/>
        <w:rPr>
          <w:sz w:val="30"/>
          <w:szCs w:val="30"/>
        </w:rPr>
      </w:pPr>
      <w:r>
        <w:rPr>
          <w:rFonts w:hint="eastAsia"/>
          <w:sz w:val="30"/>
          <w:szCs w:val="30"/>
        </w:rPr>
        <w:t>关于</w:t>
      </w:r>
      <w:r w:rsidR="00AC75DB">
        <w:rPr>
          <w:rFonts w:hint="eastAsia"/>
          <w:sz w:val="30"/>
          <w:szCs w:val="30"/>
        </w:rPr>
        <w:t>延长</w:t>
      </w:r>
      <w:r>
        <w:rPr>
          <w:rFonts w:hint="eastAsia"/>
          <w:sz w:val="30"/>
          <w:szCs w:val="30"/>
        </w:rPr>
        <w:t>旗下部分基金销售服务费率优惠活动的公告</w:t>
      </w:r>
    </w:p>
    <w:p w:rsidR="00E61F0A" w:rsidRDefault="00E61F0A"/>
    <w:p w:rsidR="00E61F0A" w:rsidRPr="00AC75DB" w:rsidRDefault="00AC75DB">
      <w:pPr>
        <w:pStyle w:val="a4"/>
        <w:spacing w:line="376" w:lineRule="auto"/>
        <w:ind w:left="120" w:right="274" w:firstLineChars="200" w:firstLine="412"/>
        <w:rPr>
          <w:rFonts w:asciiTheme="minorEastAsia" w:eastAsiaTheme="minorEastAsia" w:hAnsiTheme="minorEastAsia"/>
          <w:spacing w:val="-2"/>
          <w:sz w:val="21"/>
          <w:szCs w:val="21"/>
        </w:rPr>
      </w:pPr>
      <w:r>
        <w:rPr>
          <w:rFonts w:asciiTheme="minorEastAsia" w:eastAsiaTheme="minorEastAsia" w:hAnsiTheme="minorEastAsia"/>
          <w:spacing w:val="-2"/>
          <w:sz w:val="21"/>
          <w:szCs w:val="21"/>
        </w:rPr>
        <w:t>为更好地满足广大投资者的理财需求，</w:t>
      </w:r>
      <w:r w:rsidRPr="00AC75DB">
        <w:rPr>
          <w:rFonts w:asciiTheme="minorEastAsia" w:eastAsiaTheme="minorEastAsia" w:hAnsiTheme="minorEastAsia" w:hint="eastAsia"/>
          <w:spacing w:val="-2"/>
          <w:sz w:val="21"/>
          <w:szCs w:val="21"/>
        </w:rPr>
        <w:t>华安基金管理有限公司（以下简称“本公司”）决定对202</w:t>
      </w:r>
      <w:r w:rsidRPr="00AC75DB">
        <w:rPr>
          <w:rFonts w:asciiTheme="minorEastAsia" w:eastAsiaTheme="minorEastAsia" w:hAnsiTheme="minorEastAsia"/>
          <w:spacing w:val="-2"/>
          <w:sz w:val="21"/>
          <w:szCs w:val="21"/>
        </w:rPr>
        <w:t>4</w:t>
      </w:r>
      <w:r w:rsidRPr="00AC75DB">
        <w:rPr>
          <w:rFonts w:asciiTheme="minorEastAsia" w:eastAsiaTheme="minorEastAsia" w:hAnsiTheme="minorEastAsia" w:hint="eastAsia"/>
          <w:spacing w:val="-2"/>
          <w:sz w:val="21"/>
          <w:szCs w:val="21"/>
        </w:rPr>
        <w:t>年1</w:t>
      </w:r>
      <w:r w:rsidRPr="00AC75DB">
        <w:rPr>
          <w:rFonts w:asciiTheme="minorEastAsia" w:eastAsiaTheme="minorEastAsia" w:hAnsiTheme="minorEastAsia"/>
          <w:spacing w:val="-2"/>
          <w:sz w:val="21"/>
          <w:szCs w:val="21"/>
        </w:rPr>
        <w:t>1</w:t>
      </w:r>
      <w:r w:rsidRPr="00AC75DB">
        <w:rPr>
          <w:rFonts w:asciiTheme="minorEastAsia" w:eastAsiaTheme="minorEastAsia" w:hAnsiTheme="minorEastAsia" w:hint="eastAsia"/>
          <w:spacing w:val="-2"/>
          <w:sz w:val="21"/>
          <w:szCs w:val="21"/>
        </w:rPr>
        <w:t>月</w:t>
      </w:r>
      <w:r w:rsidRPr="00AC75DB">
        <w:rPr>
          <w:rFonts w:asciiTheme="minorEastAsia" w:eastAsiaTheme="minorEastAsia" w:hAnsiTheme="minorEastAsia"/>
          <w:spacing w:val="-2"/>
          <w:sz w:val="21"/>
          <w:szCs w:val="21"/>
        </w:rPr>
        <w:t>16</w:t>
      </w:r>
      <w:r w:rsidRPr="00AC75DB">
        <w:rPr>
          <w:rFonts w:asciiTheme="minorEastAsia" w:eastAsiaTheme="minorEastAsia" w:hAnsiTheme="minorEastAsia" w:hint="eastAsia"/>
          <w:spacing w:val="-2"/>
          <w:sz w:val="21"/>
          <w:szCs w:val="21"/>
        </w:rPr>
        <w:t>日发布的《关于开展旗下部分基金销售服务费率优惠活动的公告》中所述的部分基金份额类别销售服务费费率优惠活动的结束时间延长至202</w:t>
      </w:r>
      <w:r w:rsidRPr="00AC75DB">
        <w:rPr>
          <w:rFonts w:asciiTheme="minorEastAsia" w:eastAsiaTheme="minorEastAsia" w:hAnsiTheme="minorEastAsia"/>
          <w:spacing w:val="-2"/>
          <w:sz w:val="21"/>
          <w:szCs w:val="21"/>
        </w:rPr>
        <w:t>6</w:t>
      </w:r>
      <w:r w:rsidRPr="00AC75DB">
        <w:rPr>
          <w:rFonts w:asciiTheme="minorEastAsia" w:eastAsiaTheme="minorEastAsia" w:hAnsiTheme="minorEastAsia" w:hint="eastAsia"/>
          <w:spacing w:val="-2"/>
          <w:sz w:val="21"/>
          <w:szCs w:val="21"/>
        </w:rPr>
        <w:t>年12月31日。</w:t>
      </w:r>
      <w:r w:rsidR="000D533C">
        <w:rPr>
          <w:rFonts w:asciiTheme="minorEastAsia" w:eastAsiaTheme="minorEastAsia" w:hAnsiTheme="minorEastAsia" w:hint="eastAsia"/>
          <w:spacing w:val="-2"/>
          <w:sz w:val="21"/>
          <w:szCs w:val="21"/>
        </w:rPr>
        <w:t>现将有关事项公告如下：</w:t>
      </w:r>
    </w:p>
    <w:p w:rsidR="00E61F0A" w:rsidRDefault="00E61F0A">
      <w:pPr>
        <w:spacing w:line="360" w:lineRule="auto"/>
        <w:ind w:firstLineChars="200" w:firstLine="420"/>
        <w:jc w:val="left"/>
        <w:rPr>
          <w:rFonts w:asciiTheme="minorEastAsia" w:hAnsiTheme="minorEastAsia"/>
          <w:szCs w:val="21"/>
        </w:rPr>
      </w:pPr>
    </w:p>
    <w:p w:rsidR="00E61F0A" w:rsidRDefault="000D533C">
      <w:pPr>
        <w:spacing w:line="360" w:lineRule="auto"/>
        <w:ind w:firstLineChars="200" w:firstLine="420"/>
        <w:jc w:val="left"/>
        <w:outlineLvl w:val="0"/>
        <w:rPr>
          <w:rFonts w:asciiTheme="minorEastAsia" w:hAnsiTheme="minorEastAsia"/>
          <w:szCs w:val="21"/>
        </w:rPr>
      </w:pPr>
      <w:r>
        <w:rPr>
          <w:rFonts w:asciiTheme="minorEastAsia" w:hAnsiTheme="minorEastAsia" w:hint="eastAsia"/>
          <w:szCs w:val="21"/>
        </w:rPr>
        <w:t>一、 活动时间</w:t>
      </w:r>
      <w:bookmarkStart w:id="0" w:name="_GoBack"/>
      <w:bookmarkEnd w:id="0"/>
    </w:p>
    <w:p w:rsidR="00E61F0A" w:rsidRDefault="00AC75DB">
      <w:pPr>
        <w:spacing w:line="360" w:lineRule="auto"/>
        <w:ind w:firstLineChars="200" w:firstLine="420"/>
        <w:jc w:val="left"/>
        <w:rPr>
          <w:rFonts w:asciiTheme="minorEastAsia" w:hAnsiTheme="minorEastAsia"/>
          <w:szCs w:val="21"/>
        </w:rPr>
      </w:pPr>
      <w:r>
        <w:rPr>
          <w:rFonts w:asciiTheme="minorEastAsia" w:hAnsiTheme="minorEastAsia" w:hint="eastAsia"/>
          <w:szCs w:val="21"/>
        </w:rPr>
        <w:t>202</w:t>
      </w:r>
      <w:r>
        <w:rPr>
          <w:rFonts w:asciiTheme="minorEastAsia" w:hAnsiTheme="minorEastAsia"/>
          <w:szCs w:val="21"/>
        </w:rPr>
        <w:t>6</w:t>
      </w:r>
      <w:r w:rsidR="000D533C">
        <w:rPr>
          <w:rFonts w:asciiTheme="minorEastAsia" w:hAnsiTheme="minorEastAsia" w:hint="eastAsia"/>
          <w:szCs w:val="21"/>
        </w:rPr>
        <w:t>年</w:t>
      </w:r>
      <w:r w:rsidR="000D533C">
        <w:rPr>
          <w:rFonts w:asciiTheme="minorEastAsia" w:hAnsiTheme="minorEastAsia"/>
          <w:szCs w:val="21"/>
        </w:rPr>
        <w:t>1</w:t>
      </w:r>
      <w:r w:rsidR="000D533C">
        <w:rPr>
          <w:rFonts w:asciiTheme="minorEastAsia" w:hAnsiTheme="minorEastAsia" w:hint="eastAsia"/>
          <w:szCs w:val="21"/>
        </w:rPr>
        <w:t>月</w:t>
      </w:r>
      <w:r w:rsidR="000D533C">
        <w:rPr>
          <w:rFonts w:asciiTheme="minorEastAsia" w:hAnsiTheme="minorEastAsia"/>
          <w:szCs w:val="21"/>
        </w:rPr>
        <w:t>1</w:t>
      </w:r>
      <w:r w:rsidR="000D533C">
        <w:rPr>
          <w:rFonts w:asciiTheme="minorEastAsia" w:hAnsiTheme="minorEastAsia" w:hint="eastAsia"/>
          <w:szCs w:val="21"/>
        </w:rPr>
        <w:t>日至</w:t>
      </w:r>
      <w:r>
        <w:rPr>
          <w:rFonts w:asciiTheme="minorEastAsia" w:hAnsiTheme="minorEastAsia" w:hint="eastAsia"/>
          <w:szCs w:val="21"/>
        </w:rPr>
        <w:t>202</w:t>
      </w:r>
      <w:r>
        <w:rPr>
          <w:rFonts w:asciiTheme="minorEastAsia" w:hAnsiTheme="minorEastAsia"/>
          <w:szCs w:val="21"/>
        </w:rPr>
        <w:t>6</w:t>
      </w:r>
      <w:r w:rsidR="000D533C">
        <w:rPr>
          <w:rFonts w:asciiTheme="minorEastAsia" w:hAnsiTheme="minorEastAsia" w:hint="eastAsia"/>
          <w:szCs w:val="21"/>
        </w:rPr>
        <w:t>年</w:t>
      </w:r>
      <w:r w:rsidR="000D533C">
        <w:rPr>
          <w:rFonts w:asciiTheme="minorEastAsia" w:hAnsiTheme="minorEastAsia"/>
          <w:szCs w:val="21"/>
        </w:rPr>
        <w:t>12</w:t>
      </w:r>
      <w:r w:rsidR="000D533C">
        <w:rPr>
          <w:rFonts w:asciiTheme="minorEastAsia" w:hAnsiTheme="minorEastAsia" w:hint="eastAsia"/>
          <w:szCs w:val="21"/>
        </w:rPr>
        <w:t>月</w:t>
      </w:r>
      <w:r w:rsidR="000D533C">
        <w:rPr>
          <w:rFonts w:asciiTheme="minorEastAsia" w:hAnsiTheme="minorEastAsia"/>
          <w:szCs w:val="21"/>
        </w:rPr>
        <w:t>31</w:t>
      </w:r>
      <w:r w:rsidR="000D533C">
        <w:rPr>
          <w:rFonts w:asciiTheme="minorEastAsia" w:hAnsiTheme="minorEastAsia" w:hint="eastAsia"/>
          <w:szCs w:val="21"/>
        </w:rPr>
        <w:t>日。</w:t>
      </w:r>
    </w:p>
    <w:p w:rsidR="00E61F0A" w:rsidRDefault="00E61F0A">
      <w:pPr>
        <w:spacing w:line="360" w:lineRule="auto"/>
        <w:ind w:firstLineChars="200" w:firstLine="420"/>
        <w:jc w:val="left"/>
        <w:rPr>
          <w:rFonts w:asciiTheme="minorEastAsia" w:hAnsiTheme="minorEastAsia"/>
          <w:szCs w:val="21"/>
        </w:rPr>
      </w:pPr>
    </w:p>
    <w:p w:rsidR="00E61F0A" w:rsidRDefault="000D533C">
      <w:pPr>
        <w:spacing w:line="360" w:lineRule="auto"/>
        <w:ind w:firstLineChars="200" w:firstLine="420"/>
        <w:jc w:val="left"/>
        <w:outlineLvl w:val="0"/>
        <w:rPr>
          <w:rFonts w:asciiTheme="minorEastAsia" w:hAnsiTheme="minorEastAsia"/>
          <w:szCs w:val="21"/>
        </w:rPr>
      </w:pPr>
      <w:r>
        <w:rPr>
          <w:rFonts w:asciiTheme="minorEastAsia" w:hAnsiTheme="minorEastAsia" w:hint="eastAsia"/>
          <w:szCs w:val="21"/>
        </w:rPr>
        <w:t>二、适用基金及费率优惠内容</w:t>
      </w:r>
    </w:p>
    <w:p w:rsidR="00E61F0A" w:rsidRDefault="00E61F0A">
      <w:pPr>
        <w:pStyle w:val="a4"/>
        <w:ind w:left="120" w:firstLineChars="200" w:firstLine="420"/>
        <w:rPr>
          <w:rFonts w:asciiTheme="minorEastAsia" w:eastAsiaTheme="minorEastAsia" w:hAnsiTheme="minorEastAsia"/>
          <w:sz w:val="21"/>
          <w:szCs w:val="21"/>
        </w:rPr>
      </w:pPr>
    </w:p>
    <w:tbl>
      <w:tblPr>
        <w:tblW w:w="8938" w:type="dxa"/>
        <w:tblInd w:w="-8" w:type="dxa"/>
        <w:shd w:val="clear" w:color="auto" w:fill="FFFFFF"/>
        <w:tblCellMar>
          <w:left w:w="0" w:type="dxa"/>
          <w:right w:w="0" w:type="dxa"/>
        </w:tblCellMar>
        <w:tblLook w:val="04A0"/>
      </w:tblPr>
      <w:tblGrid>
        <w:gridCol w:w="1276"/>
        <w:gridCol w:w="3969"/>
        <w:gridCol w:w="1843"/>
        <w:gridCol w:w="1850"/>
      </w:tblGrid>
      <w:tr w:rsidR="00E61F0A">
        <w:trPr>
          <w:trHeight w:val="666"/>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szCs w:val="21"/>
              </w:rPr>
              <w:t>基金代码</w:t>
            </w:r>
          </w:p>
        </w:tc>
        <w:tc>
          <w:tcPr>
            <w:tcW w:w="3969" w:type="dxa"/>
            <w:tcBorders>
              <w:top w:val="single" w:sz="6" w:space="0" w:color="auto"/>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szCs w:val="21"/>
              </w:rPr>
              <w:t>基金简称</w:t>
            </w:r>
          </w:p>
        </w:tc>
        <w:tc>
          <w:tcPr>
            <w:tcW w:w="1843" w:type="dxa"/>
            <w:tcBorders>
              <w:top w:val="single" w:sz="6" w:space="0" w:color="auto"/>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szCs w:val="21"/>
              </w:rPr>
              <w:t>原销售服务费率</w:t>
            </w:r>
          </w:p>
        </w:tc>
        <w:tc>
          <w:tcPr>
            <w:tcW w:w="1850" w:type="dxa"/>
            <w:tcBorders>
              <w:top w:val="single" w:sz="6" w:space="0" w:color="auto"/>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szCs w:val="21"/>
              </w:rPr>
            </w:pPr>
            <w:r>
              <w:rPr>
                <w:rFonts w:asciiTheme="minorEastAsia" w:hAnsiTheme="minorEastAsia" w:cs="Arial" w:hint="eastAsia"/>
                <w:color w:val="4D4D4D"/>
                <w:szCs w:val="21"/>
              </w:rPr>
              <w:t>优惠后</w:t>
            </w:r>
          </w:p>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szCs w:val="21"/>
              </w:rPr>
              <w:t>销售服务费率</w:t>
            </w:r>
          </w:p>
        </w:tc>
      </w:tr>
      <w:tr w:rsidR="00E61F0A">
        <w:tc>
          <w:tcPr>
            <w:tcW w:w="1276" w:type="dxa"/>
            <w:tcBorders>
              <w:top w:val="nil"/>
              <w:left w:val="single" w:sz="6" w:space="0" w:color="auto"/>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color w:val="4D4D4D"/>
                <w:kern w:val="0"/>
                <w:szCs w:val="21"/>
              </w:rPr>
              <w:t>022646</w:t>
            </w:r>
          </w:p>
        </w:tc>
        <w:tc>
          <w:tcPr>
            <w:tcW w:w="3969" w:type="dxa"/>
            <w:tcBorders>
              <w:top w:val="nil"/>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szCs w:val="21"/>
              </w:rPr>
              <w:t>华安上证180ETF联接I</w:t>
            </w:r>
          </w:p>
        </w:tc>
        <w:tc>
          <w:tcPr>
            <w:tcW w:w="1843" w:type="dxa"/>
            <w:tcBorders>
              <w:top w:val="nil"/>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kern w:val="0"/>
                <w:szCs w:val="21"/>
              </w:rPr>
              <w:t>0</w:t>
            </w:r>
            <w:r>
              <w:rPr>
                <w:rFonts w:asciiTheme="minorEastAsia" w:hAnsiTheme="minorEastAsia" w:cs="Arial"/>
                <w:color w:val="4D4D4D"/>
                <w:kern w:val="0"/>
                <w:szCs w:val="21"/>
              </w:rPr>
              <w:t>.10%/</w:t>
            </w:r>
            <w:r>
              <w:rPr>
                <w:rFonts w:asciiTheme="minorEastAsia" w:hAnsiTheme="minorEastAsia" w:cs="Arial" w:hint="eastAsia"/>
                <w:color w:val="4D4D4D"/>
                <w:kern w:val="0"/>
                <w:szCs w:val="21"/>
              </w:rPr>
              <w:t>年</w:t>
            </w:r>
          </w:p>
        </w:tc>
        <w:tc>
          <w:tcPr>
            <w:tcW w:w="1850" w:type="dxa"/>
            <w:tcBorders>
              <w:top w:val="nil"/>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kern w:val="0"/>
                <w:szCs w:val="21"/>
              </w:rPr>
              <w:t>0</w:t>
            </w:r>
            <w:r>
              <w:rPr>
                <w:rFonts w:asciiTheme="minorEastAsia" w:hAnsiTheme="minorEastAsia" w:cs="Arial"/>
                <w:color w:val="4D4D4D"/>
                <w:kern w:val="0"/>
                <w:szCs w:val="21"/>
              </w:rPr>
              <w:t>.01%/</w:t>
            </w:r>
            <w:r>
              <w:rPr>
                <w:rFonts w:asciiTheme="minorEastAsia" w:hAnsiTheme="minorEastAsia" w:cs="Arial" w:hint="eastAsia"/>
                <w:color w:val="4D4D4D"/>
                <w:kern w:val="0"/>
                <w:szCs w:val="21"/>
              </w:rPr>
              <w:t>年</w:t>
            </w:r>
          </w:p>
        </w:tc>
      </w:tr>
      <w:tr w:rsidR="00E61F0A">
        <w:tc>
          <w:tcPr>
            <w:tcW w:w="1276" w:type="dxa"/>
            <w:tcBorders>
              <w:top w:val="nil"/>
              <w:left w:val="single" w:sz="6" w:space="0" w:color="auto"/>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color w:val="4D4D4D"/>
                <w:kern w:val="0"/>
                <w:szCs w:val="21"/>
              </w:rPr>
              <w:t>022654</w:t>
            </w:r>
          </w:p>
        </w:tc>
        <w:tc>
          <w:tcPr>
            <w:tcW w:w="3969" w:type="dxa"/>
            <w:tcBorders>
              <w:top w:val="nil"/>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szCs w:val="21"/>
              </w:rPr>
              <w:t>华安创业板50ETF联接I</w:t>
            </w:r>
          </w:p>
        </w:tc>
        <w:tc>
          <w:tcPr>
            <w:tcW w:w="1843" w:type="dxa"/>
            <w:tcBorders>
              <w:top w:val="nil"/>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kern w:val="0"/>
                <w:szCs w:val="21"/>
              </w:rPr>
              <w:t>0</w:t>
            </w:r>
            <w:r>
              <w:rPr>
                <w:rFonts w:asciiTheme="minorEastAsia" w:hAnsiTheme="minorEastAsia" w:cs="Arial"/>
                <w:color w:val="4D4D4D"/>
                <w:kern w:val="0"/>
                <w:szCs w:val="21"/>
              </w:rPr>
              <w:t>.10%/</w:t>
            </w:r>
            <w:r>
              <w:rPr>
                <w:rFonts w:asciiTheme="minorEastAsia" w:hAnsiTheme="minorEastAsia" w:cs="Arial" w:hint="eastAsia"/>
                <w:color w:val="4D4D4D"/>
                <w:kern w:val="0"/>
                <w:szCs w:val="21"/>
              </w:rPr>
              <w:t>年</w:t>
            </w:r>
          </w:p>
        </w:tc>
        <w:tc>
          <w:tcPr>
            <w:tcW w:w="1850" w:type="dxa"/>
            <w:tcBorders>
              <w:top w:val="nil"/>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kern w:val="0"/>
                <w:szCs w:val="21"/>
              </w:rPr>
              <w:t>0</w:t>
            </w:r>
            <w:r>
              <w:rPr>
                <w:rFonts w:asciiTheme="minorEastAsia" w:hAnsiTheme="minorEastAsia" w:cs="Arial"/>
                <w:color w:val="4D4D4D"/>
                <w:kern w:val="0"/>
                <w:szCs w:val="21"/>
              </w:rPr>
              <w:t>.01%/</w:t>
            </w:r>
            <w:r>
              <w:rPr>
                <w:rFonts w:asciiTheme="minorEastAsia" w:hAnsiTheme="minorEastAsia" w:cs="Arial" w:hint="eastAsia"/>
                <w:color w:val="4D4D4D"/>
                <w:kern w:val="0"/>
                <w:szCs w:val="21"/>
              </w:rPr>
              <w:t>年</w:t>
            </w:r>
          </w:p>
        </w:tc>
      </w:tr>
      <w:tr w:rsidR="00E61F0A">
        <w:tc>
          <w:tcPr>
            <w:tcW w:w="1276" w:type="dxa"/>
            <w:tcBorders>
              <w:top w:val="nil"/>
              <w:left w:val="single" w:sz="6" w:space="0" w:color="auto"/>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color w:val="4D4D4D"/>
                <w:kern w:val="0"/>
                <w:szCs w:val="21"/>
              </w:rPr>
              <w:t>022647</w:t>
            </w:r>
          </w:p>
        </w:tc>
        <w:tc>
          <w:tcPr>
            <w:tcW w:w="3969" w:type="dxa"/>
            <w:tcBorders>
              <w:top w:val="nil"/>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szCs w:val="21"/>
              </w:rPr>
              <w:t>华安恒生科技ETF发起式联接（QDII）I</w:t>
            </w:r>
          </w:p>
        </w:tc>
        <w:tc>
          <w:tcPr>
            <w:tcW w:w="1843" w:type="dxa"/>
            <w:tcBorders>
              <w:top w:val="nil"/>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kern w:val="0"/>
                <w:szCs w:val="21"/>
              </w:rPr>
              <w:t>0</w:t>
            </w:r>
            <w:r>
              <w:rPr>
                <w:rFonts w:asciiTheme="minorEastAsia" w:hAnsiTheme="minorEastAsia" w:cs="Arial"/>
                <w:color w:val="4D4D4D"/>
                <w:kern w:val="0"/>
                <w:szCs w:val="21"/>
              </w:rPr>
              <w:t>.10%/</w:t>
            </w:r>
            <w:r>
              <w:rPr>
                <w:rFonts w:asciiTheme="minorEastAsia" w:hAnsiTheme="minorEastAsia" w:cs="Arial" w:hint="eastAsia"/>
                <w:color w:val="4D4D4D"/>
                <w:kern w:val="0"/>
                <w:szCs w:val="21"/>
              </w:rPr>
              <w:t>年</w:t>
            </w:r>
          </w:p>
        </w:tc>
        <w:tc>
          <w:tcPr>
            <w:tcW w:w="1850" w:type="dxa"/>
            <w:tcBorders>
              <w:top w:val="nil"/>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kern w:val="0"/>
                <w:szCs w:val="21"/>
              </w:rPr>
              <w:t>0</w:t>
            </w:r>
            <w:r>
              <w:rPr>
                <w:rFonts w:asciiTheme="minorEastAsia" w:hAnsiTheme="minorEastAsia" w:cs="Arial"/>
                <w:color w:val="4D4D4D"/>
                <w:kern w:val="0"/>
                <w:szCs w:val="21"/>
              </w:rPr>
              <w:t>.01%/</w:t>
            </w:r>
            <w:r>
              <w:rPr>
                <w:rFonts w:asciiTheme="minorEastAsia" w:hAnsiTheme="minorEastAsia" w:cs="Arial" w:hint="eastAsia"/>
                <w:color w:val="4D4D4D"/>
                <w:kern w:val="0"/>
                <w:szCs w:val="21"/>
              </w:rPr>
              <w:t>年</w:t>
            </w:r>
          </w:p>
        </w:tc>
      </w:tr>
      <w:tr w:rsidR="00E61F0A">
        <w:tc>
          <w:tcPr>
            <w:tcW w:w="1276" w:type="dxa"/>
            <w:tcBorders>
              <w:top w:val="nil"/>
              <w:left w:val="single" w:sz="6" w:space="0" w:color="auto"/>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color w:val="4D4D4D"/>
                <w:kern w:val="0"/>
                <w:szCs w:val="21"/>
              </w:rPr>
              <w:t>022653</w:t>
            </w:r>
          </w:p>
        </w:tc>
        <w:tc>
          <w:tcPr>
            <w:tcW w:w="3969" w:type="dxa"/>
            <w:tcBorders>
              <w:top w:val="nil"/>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szCs w:val="21"/>
              </w:rPr>
              <w:t>华安黄金ETF联接I</w:t>
            </w:r>
          </w:p>
        </w:tc>
        <w:tc>
          <w:tcPr>
            <w:tcW w:w="1843" w:type="dxa"/>
            <w:tcBorders>
              <w:top w:val="nil"/>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kern w:val="0"/>
                <w:szCs w:val="21"/>
              </w:rPr>
              <w:t>0</w:t>
            </w:r>
            <w:r>
              <w:rPr>
                <w:rFonts w:asciiTheme="minorEastAsia" w:hAnsiTheme="minorEastAsia" w:cs="Arial"/>
                <w:color w:val="4D4D4D"/>
                <w:kern w:val="0"/>
                <w:szCs w:val="21"/>
              </w:rPr>
              <w:t>.10%/</w:t>
            </w:r>
            <w:r>
              <w:rPr>
                <w:rFonts w:asciiTheme="minorEastAsia" w:hAnsiTheme="minorEastAsia" w:cs="Arial" w:hint="eastAsia"/>
                <w:color w:val="4D4D4D"/>
                <w:kern w:val="0"/>
                <w:szCs w:val="21"/>
              </w:rPr>
              <w:t>年</w:t>
            </w:r>
          </w:p>
        </w:tc>
        <w:tc>
          <w:tcPr>
            <w:tcW w:w="1850" w:type="dxa"/>
            <w:tcBorders>
              <w:top w:val="nil"/>
              <w:left w:val="nil"/>
              <w:bottom w:val="single" w:sz="6" w:space="0" w:color="auto"/>
              <w:right w:val="single" w:sz="6" w:space="0" w:color="auto"/>
            </w:tcBorders>
            <w:shd w:val="clear" w:color="auto" w:fill="FFFFFF"/>
            <w:vAlign w:val="center"/>
          </w:tcPr>
          <w:p w:rsidR="00E61F0A" w:rsidRDefault="000D533C">
            <w:pPr>
              <w:widowControl/>
              <w:jc w:val="left"/>
              <w:rPr>
                <w:rFonts w:asciiTheme="minorEastAsia" w:hAnsiTheme="minorEastAsia" w:cs="Arial"/>
                <w:color w:val="4D4D4D"/>
                <w:kern w:val="0"/>
                <w:szCs w:val="21"/>
              </w:rPr>
            </w:pPr>
            <w:r>
              <w:rPr>
                <w:rFonts w:asciiTheme="minorEastAsia" w:hAnsiTheme="minorEastAsia" w:cs="Arial" w:hint="eastAsia"/>
                <w:color w:val="4D4D4D"/>
                <w:kern w:val="0"/>
                <w:szCs w:val="21"/>
              </w:rPr>
              <w:t>0</w:t>
            </w:r>
            <w:r>
              <w:rPr>
                <w:rFonts w:asciiTheme="minorEastAsia" w:hAnsiTheme="minorEastAsia" w:cs="Arial"/>
                <w:color w:val="4D4D4D"/>
                <w:kern w:val="0"/>
                <w:szCs w:val="21"/>
              </w:rPr>
              <w:t>.01%/</w:t>
            </w:r>
            <w:r>
              <w:rPr>
                <w:rFonts w:asciiTheme="minorEastAsia" w:hAnsiTheme="minorEastAsia" w:cs="Arial" w:hint="eastAsia"/>
                <w:color w:val="4D4D4D"/>
                <w:kern w:val="0"/>
                <w:szCs w:val="21"/>
              </w:rPr>
              <w:t>年</w:t>
            </w:r>
          </w:p>
        </w:tc>
      </w:tr>
    </w:tbl>
    <w:p w:rsidR="00E61F0A" w:rsidRDefault="00E61F0A">
      <w:pPr>
        <w:spacing w:line="360" w:lineRule="auto"/>
        <w:ind w:firstLineChars="200" w:firstLine="420"/>
        <w:jc w:val="left"/>
        <w:outlineLvl w:val="0"/>
        <w:rPr>
          <w:rFonts w:asciiTheme="minorEastAsia" w:hAnsiTheme="minorEastAsia"/>
          <w:szCs w:val="21"/>
        </w:rPr>
      </w:pPr>
    </w:p>
    <w:p w:rsidR="00E61F0A" w:rsidRDefault="000D533C">
      <w:pPr>
        <w:spacing w:line="360" w:lineRule="auto"/>
        <w:ind w:firstLineChars="200" w:firstLine="420"/>
        <w:jc w:val="left"/>
        <w:outlineLvl w:val="0"/>
        <w:rPr>
          <w:rFonts w:asciiTheme="minorEastAsia" w:hAnsiTheme="minorEastAsia"/>
          <w:szCs w:val="21"/>
        </w:rPr>
      </w:pPr>
      <w:r>
        <w:rPr>
          <w:rFonts w:asciiTheme="minorEastAsia" w:hAnsiTheme="minorEastAsia"/>
          <w:szCs w:val="21"/>
        </w:rPr>
        <w:t>三、重要提示</w:t>
      </w:r>
    </w:p>
    <w:p w:rsidR="00E61F0A" w:rsidRDefault="000D533C">
      <w:pPr>
        <w:pStyle w:val="a4"/>
        <w:spacing w:line="376" w:lineRule="auto"/>
        <w:ind w:left="120" w:right="274" w:firstLineChars="200" w:firstLine="412"/>
        <w:rPr>
          <w:rFonts w:asciiTheme="minorEastAsia" w:eastAsiaTheme="minorEastAsia" w:hAnsiTheme="minorEastAsia"/>
          <w:spacing w:val="-2"/>
          <w:sz w:val="21"/>
          <w:szCs w:val="21"/>
        </w:rPr>
      </w:pPr>
      <w:r>
        <w:rPr>
          <w:rFonts w:asciiTheme="minorEastAsia" w:eastAsiaTheme="minorEastAsia" w:hAnsiTheme="minorEastAsia"/>
          <w:spacing w:val="-2"/>
          <w:sz w:val="21"/>
          <w:szCs w:val="21"/>
        </w:rPr>
        <w:t>1、</w:t>
      </w:r>
      <w:r>
        <w:rPr>
          <w:rFonts w:asciiTheme="minorEastAsia" w:eastAsiaTheme="minorEastAsia" w:hAnsiTheme="minorEastAsia" w:hint="eastAsia"/>
          <w:spacing w:val="-2"/>
          <w:sz w:val="21"/>
          <w:szCs w:val="21"/>
        </w:rPr>
        <w:t>本公司可对上述费率优惠、适用范围进行调整，并依据相关法规要求进行公告</w:t>
      </w:r>
      <w:r>
        <w:rPr>
          <w:rFonts w:asciiTheme="minorEastAsia" w:eastAsiaTheme="minorEastAsia" w:hAnsiTheme="minorEastAsia"/>
          <w:spacing w:val="-2"/>
          <w:sz w:val="21"/>
          <w:szCs w:val="21"/>
        </w:rPr>
        <w:t>。</w:t>
      </w:r>
    </w:p>
    <w:p w:rsidR="00E61F0A" w:rsidRDefault="000D533C">
      <w:pPr>
        <w:pStyle w:val="a4"/>
        <w:spacing w:line="376" w:lineRule="auto"/>
        <w:ind w:left="120" w:right="274" w:firstLineChars="200" w:firstLine="412"/>
        <w:rPr>
          <w:rFonts w:asciiTheme="minorEastAsia" w:eastAsiaTheme="minorEastAsia" w:hAnsiTheme="minorEastAsia"/>
          <w:spacing w:val="-2"/>
          <w:sz w:val="21"/>
          <w:szCs w:val="21"/>
        </w:rPr>
      </w:pPr>
      <w:r>
        <w:rPr>
          <w:rFonts w:asciiTheme="minorEastAsia" w:eastAsiaTheme="minorEastAsia" w:hAnsiTheme="minorEastAsia"/>
          <w:spacing w:val="-2"/>
          <w:sz w:val="21"/>
          <w:szCs w:val="21"/>
        </w:rPr>
        <w:t>2、</w:t>
      </w:r>
      <w:r>
        <w:rPr>
          <w:rFonts w:asciiTheme="minorEastAsia" w:eastAsiaTheme="minorEastAsia" w:hAnsiTheme="minorEastAsia" w:hint="eastAsia"/>
          <w:spacing w:val="-2"/>
          <w:sz w:val="21"/>
          <w:szCs w:val="21"/>
        </w:rPr>
        <w:t>投资者欲了解上述基金产品的详细情况，请仔细阅读上述基金的《基金合同》、《招募说明书》等法律文件及相关业务公告。</w:t>
      </w:r>
    </w:p>
    <w:p w:rsidR="00E61F0A" w:rsidRDefault="000D533C">
      <w:pPr>
        <w:pStyle w:val="a4"/>
        <w:spacing w:line="376" w:lineRule="auto"/>
        <w:ind w:left="120" w:right="274" w:firstLineChars="200" w:firstLine="412"/>
        <w:rPr>
          <w:rFonts w:asciiTheme="minorEastAsia" w:eastAsiaTheme="minorEastAsia" w:hAnsiTheme="minorEastAsia"/>
          <w:spacing w:val="-2"/>
          <w:sz w:val="21"/>
          <w:szCs w:val="21"/>
        </w:rPr>
      </w:pPr>
      <w:r>
        <w:rPr>
          <w:rFonts w:asciiTheme="minorEastAsia" w:eastAsiaTheme="minorEastAsia" w:hAnsiTheme="minorEastAsia"/>
          <w:spacing w:val="-2"/>
          <w:sz w:val="21"/>
          <w:szCs w:val="21"/>
        </w:rPr>
        <w:t>3</w:t>
      </w:r>
      <w:r>
        <w:rPr>
          <w:rFonts w:asciiTheme="minorEastAsia" w:eastAsiaTheme="minorEastAsia" w:hAnsiTheme="minorEastAsia" w:hint="eastAsia"/>
          <w:spacing w:val="-2"/>
          <w:sz w:val="21"/>
          <w:szCs w:val="21"/>
        </w:rPr>
        <w:t>、费率优惠解释权归本公司所有，有关费率优惠的具体规定如有变化，敬请投资者留意本公司的有关公告。</w:t>
      </w:r>
    </w:p>
    <w:p w:rsidR="00E61F0A" w:rsidRDefault="00E61F0A">
      <w:pPr>
        <w:spacing w:line="360" w:lineRule="auto"/>
        <w:ind w:firstLineChars="200" w:firstLine="420"/>
        <w:jc w:val="left"/>
        <w:outlineLvl w:val="0"/>
        <w:rPr>
          <w:rFonts w:asciiTheme="minorEastAsia" w:hAnsiTheme="minorEastAsia"/>
          <w:szCs w:val="21"/>
        </w:rPr>
      </w:pPr>
    </w:p>
    <w:p w:rsidR="00E61F0A" w:rsidRDefault="000D533C">
      <w:pPr>
        <w:spacing w:line="360" w:lineRule="auto"/>
        <w:ind w:firstLineChars="200" w:firstLine="420"/>
        <w:jc w:val="left"/>
        <w:outlineLvl w:val="0"/>
        <w:rPr>
          <w:rFonts w:asciiTheme="minorEastAsia" w:hAnsiTheme="minorEastAsia"/>
          <w:szCs w:val="21"/>
        </w:rPr>
      </w:pPr>
      <w:r>
        <w:rPr>
          <w:rFonts w:asciiTheme="minorEastAsia" w:hAnsiTheme="minorEastAsia" w:hint="eastAsia"/>
          <w:szCs w:val="21"/>
        </w:rPr>
        <w:t>四、投资者可通过以下途径咨询有关详请：</w:t>
      </w:r>
    </w:p>
    <w:p w:rsidR="00E61F0A" w:rsidRDefault="000D533C">
      <w:pPr>
        <w:spacing w:line="360" w:lineRule="auto"/>
        <w:ind w:firstLineChars="200" w:firstLine="420"/>
        <w:jc w:val="left"/>
        <w:rPr>
          <w:rFonts w:asciiTheme="minorEastAsia" w:hAnsiTheme="minorEastAsia"/>
          <w:szCs w:val="21"/>
        </w:rPr>
      </w:pPr>
      <w:r>
        <w:rPr>
          <w:rFonts w:asciiTheme="minorEastAsia" w:hAnsiTheme="minorEastAsia" w:hint="eastAsia"/>
          <w:szCs w:val="21"/>
        </w:rPr>
        <w:t xml:space="preserve">　　华安基金管理有限公司网址：www.huaan.com.cn</w:t>
      </w:r>
    </w:p>
    <w:p w:rsidR="00E61F0A" w:rsidRDefault="000D533C">
      <w:pPr>
        <w:spacing w:line="360" w:lineRule="auto"/>
        <w:ind w:firstLineChars="200" w:firstLine="420"/>
        <w:jc w:val="left"/>
        <w:rPr>
          <w:rFonts w:asciiTheme="minorEastAsia" w:hAnsiTheme="minorEastAsia"/>
          <w:szCs w:val="21"/>
        </w:rPr>
      </w:pPr>
      <w:r>
        <w:rPr>
          <w:rFonts w:asciiTheme="minorEastAsia" w:hAnsiTheme="minorEastAsia" w:hint="eastAsia"/>
          <w:szCs w:val="21"/>
        </w:rPr>
        <w:t xml:space="preserve">　　华安基金管理有限公司客服中心电话：40088-50099</w:t>
      </w:r>
    </w:p>
    <w:p w:rsidR="00E61F0A" w:rsidRDefault="00E61F0A" w:rsidP="00AC75DB">
      <w:pPr>
        <w:spacing w:line="360" w:lineRule="auto"/>
        <w:jc w:val="left"/>
        <w:rPr>
          <w:rFonts w:asciiTheme="minorEastAsia" w:hAnsiTheme="minorEastAsia"/>
          <w:szCs w:val="21"/>
        </w:rPr>
      </w:pPr>
    </w:p>
    <w:p w:rsidR="00E61F0A" w:rsidRDefault="000D533C">
      <w:pPr>
        <w:spacing w:line="360" w:lineRule="auto"/>
        <w:ind w:firstLineChars="200" w:firstLine="420"/>
        <w:jc w:val="left"/>
        <w:rPr>
          <w:rFonts w:asciiTheme="minorEastAsia" w:hAnsiTheme="minorEastAsia"/>
          <w:szCs w:val="21"/>
        </w:rPr>
      </w:pPr>
      <w:r>
        <w:rPr>
          <w:rFonts w:asciiTheme="minorEastAsia" w:hAnsiTheme="minorEastAsia" w:hint="eastAsia"/>
          <w:szCs w:val="21"/>
        </w:rPr>
        <w:lastRenderedPageBreak/>
        <w:t>风险提示：</w:t>
      </w:r>
      <w:r>
        <w:rPr>
          <w:rFonts w:asciiTheme="minorEastAsia" w:hAnsiTheme="minorEastAsia"/>
          <w:szCs w:val="21"/>
        </w:rPr>
        <w:t>本公司承诺以诚实信用、勤勉尽责的原则管理和运用基金资产，但不保证基金一定盈利，也不保证最低收益。投资者投资于本公司管理的基金时应认真阅读基金合同、招募说明书</w:t>
      </w:r>
      <w:r>
        <w:rPr>
          <w:rFonts w:asciiTheme="minorEastAsia" w:hAnsiTheme="minorEastAsia" w:hint="eastAsia"/>
          <w:szCs w:val="21"/>
        </w:rPr>
        <w:t>、基金产品资料概要</w:t>
      </w:r>
      <w:r>
        <w:rPr>
          <w:rFonts w:asciiTheme="minorEastAsia" w:hAnsiTheme="minorEastAsia"/>
          <w:szCs w:val="21"/>
        </w:rPr>
        <w:t>等法律文件，并注意投资风险。</w:t>
      </w:r>
    </w:p>
    <w:p w:rsidR="00E61F0A" w:rsidRDefault="000D533C">
      <w:pPr>
        <w:spacing w:line="360" w:lineRule="auto"/>
        <w:ind w:firstLineChars="200" w:firstLine="420"/>
        <w:jc w:val="left"/>
        <w:rPr>
          <w:rFonts w:asciiTheme="minorEastAsia" w:hAnsiTheme="minorEastAsia"/>
          <w:szCs w:val="21"/>
        </w:rPr>
      </w:pPr>
      <w:r>
        <w:rPr>
          <w:rFonts w:asciiTheme="minorEastAsia" w:hAnsiTheme="minorEastAsia" w:hint="eastAsia"/>
          <w:szCs w:val="21"/>
        </w:rPr>
        <w:t>特此公告。</w:t>
      </w:r>
    </w:p>
    <w:p w:rsidR="00E61F0A" w:rsidRDefault="00E61F0A">
      <w:pPr>
        <w:rPr>
          <w:rFonts w:asciiTheme="minorEastAsia" w:hAnsiTheme="minorEastAsia"/>
          <w:szCs w:val="21"/>
        </w:rPr>
      </w:pPr>
    </w:p>
    <w:p w:rsidR="00E61F0A" w:rsidRDefault="00E61F0A">
      <w:pPr>
        <w:spacing w:line="360" w:lineRule="auto"/>
        <w:rPr>
          <w:rFonts w:asciiTheme="minorEastAsia" w:hAnsiTheme="minorEastAsia"/>
          <w:szCs w:val="21"/>
        </w:rPr>
      </w:pPr>
    </w:p>
    <w:p w:rsidR="00E61F0A" w:rsidRDefault="000D533C">
      <w:pPr>
        <w:spacing w:line="360" w:lineRule="auto"/>
        <w:jc w:val="right"/>
        <w:rPr>
          <w:rFonts w:asciiTheme="minorEastAsia" w:hAnsiTheme="minorEastAsia"/>
          <w:szCs w:val="21"/>
        </w:rPr>
      </w:pPr>
      <w:r>
        <w:rPr>
          <w:rFonts w:asciiTheme="minorEastAsia" w:hAnsiTheme="minorEastAsia" w:hint="eastAsia"/>
          <w:szCs w:val="21"/>
        </w:rPr>
        <w:t>华安基金管理有限公司</w:t>
      </w:r>
    </w:p>
    <w:p w:rsidR="00E61F0A" w:rsidRDefault="00AC75DB">
      <w:pPr>
        <w:spacing w:line="360" w:lineRule="auto"/>
        <w:jc w:val="right"/>
        <w:rPr>
          <w:rFonts w:asciiTheme="minorEastAsia" w:hAnsiTheme="minorEastAsia"/>
          <w:szCs w:val="21"/>
        </w:rPr>
      </w:pPr>
      <w:r>
        <w:rPr>
          <w:rFonts w:asciiTheme="minorEastAsia" w:hAnsiTheme="minorEastAsia" w:hint="eastAsia"/>
          <w:szCs w:val="21"/>
        </w:rPr>
        <w:t>202</w:t>
      </w:r>
      <w:r>
        <w:rPr>
          <w:rFonts w:asciiTheme="minorEastAsia" w:hAnsiTheme="minorEastAsia"/>
          <w:szCs w:val="21"/>
        </w:rPr>
        <w:t>5</w:t>
      </w:r>
      <w:r w:rsidR="000D533C">
        <w:rPr>
          <w:rFonts w:asciiTheme="minorEastAsia" w:hAnsiTheme="minorEastAsia" w:hint="eastAsia"/>
          <w:szCs w:val="21"/>
        </w:rPr>
        <w:t>年</w:t>
      </w:r>
      <w:r>
        <w:rPr>
          <w:rFonts w:asciiTheme="minorEastAsia" w:hAnsiTheme="minorEastAsia"/>
          <w:szCs w:val="21"/>
        </w:rPr>
        <w:t>12</w:t>
      </w:r>
      <w:r w:rsidR="000D533C">
        <w:rPr>
          <w:rFonts w:asciiTheme="minorEastAsia" w:hAnsiTheme="minorEastAsia" w:hint="eastAsia"/>
          <w:szCs w:val="21"/>
        </w:rPr>
        <w:t>月</w:t>
      </w:r>
      <w:r w:rsidR="00167F63">
        <w:rPr>
          <w:rFonts w:asciiTheme="minorEastAsia" w:hAnsiTheme="minorEastAsia"/>
          <w:szCs w:val="21"/>
        </w:rPr>
        <w:t>29</w:t>
      </w:r>
      <w:r w:rsidR="000D533C">
        <w:rPr>
          <w:rFonts w:asciiTheme="minorEastAsia" w:hAnsiTheme="minorEastAsia" w:hint="eastAsia"/>
          <w:szCs w:val="21"/>
        </w:rPr>
        <w:t>日</w:t>
      </w:r>
    </w:p>
    <w:sectPr w:rsidR="00E61F0A" w:rsidSect="002E6B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5FA" w:rsidRDefault="005A25FA" w:rsidP="00A92AF0">
      <w:r>
        <w:separator/>
      </w:r>
    </w:p>
  </w:endnote>
  <w:endnote w:type="continuationSeparator" w:id="0">
    <w:p w:rsidR="005A25FA" w:rsidRDefault="005A25FA" w:rsidP="00A92A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5FA" w:rsidRDefault="005A25FA" w:rsidP="00A92AF0">
      <w:r>
        <w:separator/>
      </w:r>
    </w:p>
  </w:footnote>
  <w:footnote w:type="continuationSeparator" w:id="0">
    <w:p w:rsidR="005A25FA" w:rsidRDefault="005A25FA" w:rsidP="00A92A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30CB"/>
    <w:rsid w:val="000057C5"/>
    <w:rsid w:val="000066E0"/>
    <w:rsid w:val="000149E8"/>
    <w:rsid w:val="000211EF"/>
    <w:rsid w:val="00022991"/>
    <w:rsid w:val="00025420"/>
    <w:rsid w:val="000424D8"/>
    <w:rsid w:val="00044C30"/>
    <w:rsid w:val="00055FD9"/>
    <w:rsid w:val="00062A56"/>
    <w:rsid w:val="00090713"/>
    <w:rsid w:val="00095DE7"/>
    <w:rsid w:val="00096951"/>
    <w:rsid w:val="000B59E8"/>
    <w:rsid w:val="000B64B2"/>
    <w:rsid w:val="000D533C"/>
    <w:rsid w:val="000E48C8"/>
    <w:rsid w:val="001025A0"/>
    <w:rsid w:val="001029E3"/>
    <w:rsid w:val="00107409"/>
    <w:rsid w:val="00112843"/>
    <w:rsid w:val="00122306"/>
    <w:rsid w:val="00131BE2"/>
    <w:rsid w:val="001322EF"/>
    <w:rsid w:val="00144B1B"/>
    <w:rsid w:val="00167F63"/>
    <w:rsid w:val="0017495E"/>
    <w:rsid w:val="001768B4"/>
    <w:rsid w:val="001936DF"/>
    <w:rsid w:val="001C268F"/>
    <w:rsid w:val="001D2AB4"/>
    <w:rsid w:val="0020007E"/>
    <w:rsid w:val="0020050A"/>
    <w:rsid w:val="00201CAB"/>
    <w:rsid w:val="002104F7"/>
    <w:rsid w:val="0023396F"/>
    <w:rsid w:val="00244611"/>
    <w:rsid w:val="002610EF"/>
    <w:rsid w:val="00265228"/>
    <w:rsid w:val="00265E59"/>
    <w:rsid w:val="002718E9"/>
    <w:rsid w:val="002917D4"/>
    <w:rsid w:val="002941BF"/>
    <w:rsid w:val="002961CA"/>
    <w:rsid w:val="002B70A9"/>
    <w:rsid w:val="002D014C"/>
    <w:rsid w:val="002D3A83"/>
    <w:rsid w:val="002D4EE9"/>
    <w:rsid w:val="002E6B43"/>
    <w:rsid w:val="002F27F3"/>
    <w:rsid w:val="002F674F"/>
    <w:rsid w:val="00332063"/>
    <w:rsid w:val="003607B9"/>
    <w:rsid w:val="003807BF"/>
    <w:rsid w:val="003954E4"/>
    <w:rsid w:val="003A561E"/>
    <w:rsid w:val="003A62EE"/>
    <w:rsid w:val="003E29EA"/>
    <w:rsid w:val="003E2B32"/>
    <w:rsid w:val="0040471C"/>
    <w:rsid w:val="0042432B"/>
    <w:rsid w:val="00430F31"/>
    <w:rsid w:val="00453261"/>
    <w:rsid w:val="004568F2"/>
    <w:rsid w:val="00462745"/>
    <w:rsid w:val="00474BBD"/>
    <w:rsid w:val="00491ABD"/>
    <w:rsid w:val="00496C2E"/>
    <w:rsid w:val="004B22B7"/>
    <w:rsid w:val="004B2C88"/>
    <w:rsid w:val="004E25CB"/>
    <w:rsid w:val="004E2F75"/>
    <w:rsid w:val="004F30CB"/>
    <w:rsid w:val="004F77A0"/>
    <w:rsid w:val="00501597"/>
    <w:rsid w:val="0050699F"/>
    <w:rsid w:val="00541028"/>
    <w:rsid w:val="00543EC2"/>
    <w:rsid w:val="00546A15"/>
    <w:rsid w:val="00562892"/>
    <w:rsid w:val="00565F0F"/>
    <w:rsid w:val="005679D0"/>
    <w:rsid w:val="0057798B"/>
    <w:rsid w:val="00580FFA"/>
    <w:rsid w:val="005A25FA"/>
    <w:rsid w:val="005A500B"/>
    <w:rsid w:val="005A6742"/>
    <w:rsid w:val="005B0F22"/>
    <w:rsid w:val="00603F6B"/>
    <w:rsid w:val="006240E6"/>
    <w:rsid w:val="00653024"/>
    <w:rsid w:val="00653D74"/>
    <w:rsid w:val="00656045"/>
    <w:rsid w:val="00667BE5"/>
    <w:rsid w:val="00681218"/>
    <w:rsid w:val="006829D8"/>
    <w:rsid w:val="006864FD"/>
    <w:rsid w:val="006B2BF2"/>
    <w:rsid w:val="006E1FD5"/>
    <w:rsid w:val="006F51F3"/>
    <w:rsid w:val="007300F4"/>
    <w:rsid w:val="00732321"/>
    <w:rsid w:val="00733DB3"/>
    <w:rsid w:val="007367B4"/>
    <w:rsid w:val="00757797"/>
    <w:rsid w:val="0077158D"/>
    <w:rsid w:val="00783F61"/>
    <w:rsid w:val="00797083"/>
    <w:rsid w:val="007D4BD4"/>
    <w:rsid w:val="007D775D"/>
    <w:rsid w:val="007E3817"/>
    <w:rsid w:val="007F7D88"/>
    <w:rsid w:val="00800C4F"/>
    <w:rsid w:val="00804A07"/>
    <w:rsid w:val="0081448F"/>
    <w:rsid w:val="0082149D"/>
    <w:rsid w:val="00821994"/>
    <w:rsid w:val="00821F52"/>
    <w:rsid w:val="00842C70"/>
    <w:rsid w:val="00870332"/>
    <w:rsid w:val="00882E1C"/>
    <w:rsid w:val="008929A2"/>
    <w:rsid w:val="0089622E"/>
    <w:rsid w:val="008A6015"/>
    <w:rsid w:val="008B5B17"/>
    <w:rsid w:val="008C5137"/>
    <w:rsid w:val="008F522C"/>
    <w:rsid w:val="008F7208"/>
    <w:rsid w:val="00900894"/>
    <w:rsid w:val="00901C36"/>
    <w:rsid w:val="0091100B"/>
    <w:rsid w:val="00911617"/>
    <w:rsid w:val="00913B85"/>
    <w:rsid w:val="00931929"/>
    <w:rsid w:val="00953C9A"/>
    <w:rsid w:val="00965A66"/>
    <w:rsid w:val="009670B4"/>
    <w:rsid w:val="00996A9D"/>
    <w:rsid w:val="009C7BD0"/>
    <w:rsid w:val="009E1E00"/>
    <w:rsid w:val="009E62B9"/>
    <w:rsid w:val="009E7AC6"/>
    <w:rsid w:val="009F2255"/>
    <w:rsid w:val="00A06779"/>
    <w:rsid w:val="00A16746"/>
    <w:rsid w:val="00A2793B"/>
    <w:rsid w:val="00A44C11"/>
    <w:rsid w:val="00A527DB"/>
    <w:rsid w:val="00A529CB"/>
    <w:rsid w:val="00A621D4"/>
    <w:rsid w:val="00A62E45"/>
    <w:rsid w:val="00A64E03"/>
    <w:rsid w:val="00A65E37"/>
    <w:rsid w:val="00A82C13"/>
    <w:rsid w:val="00A92AF0"/>
    <w:rsid w:val="00AC1F57"/>
    <w:rsid w:val="00AC75DB"/>
    <w:rsid w:val="00AE4AD1"/>
    <w:rsid w:val="00AF6986"/>
    <w:rsid w:val="00B22D7D"/>
    <w:rsid w:val="00B42E8A"/>
    <w:rsid w:val="00B57575"/>
    <w:rsid w:val="00B71504"/>
    <w:rsid w:val="00BA6BDE"/>
    <w:rsid w:val="00BC4F6A"/>
    <w:rsid w:val="00BE4D33"/>
    <w:rsid w:val="00BE7BEA"/>
    <w:rsid w:val="00BF5F23"/>
    <w:rsid w:val="00C00487"/>
    <w:rsid w:val="00C023C9"/>
    <w:rsid w:val="00C124A2"/>
    <w:rsid w:val="00C152FA"/>
    <w:rsid w:val="00C169D8"/>
    <w:rsid w:val="00C347A4"/>
    <w:rsid w:val="00C423D5"/>
    <w:rsid w:val="00C4675F"/>
    <w:rsid w:val="00CC42D9"/>
    <w:rsid w:val="00CF2519"/>
    <w:rsid w:val="00D0123B"/>
    <w:rsid w:val="00D27955"/>
    <w:rsid w:val="00D3635B"/>
    <w:rsid w:val="00D445DB"/>
    <w:rsid w:val="00D668CD"/>
    <w:rsid w:val="00D668E7"/>
    <w:rsid w:val="00D97569"/>
    <w:rsid w:val="00D97774"/>
    <w:rsid w:val="00DA184E"/>
    <w:rsid w:val="00DA1935"/>
    <w:rsid w:val="00DA2DA2"/>
    <w:rsid w:val="00DD5939"/>
    <w:rsid w:val="00DF4D25"/>
    <w:rsid w:val="00DF7A27"/>
    <w:rsid w:val="00E007D2"/>
    <w:rsid w:val="00E10AA3"/>
    <w:rsid w:val="00E133C8"/>
    <w:rsid w:val="00E14BBF"/>
    <w:rsid w:val="00E15241"/>
    <w:rsid w:val="00E21391"/>
    <w:rsid w:val="00E26ABA"/>
    <w:rsid w:val="00E32760"/>
    <w:rsid w:val="00E37A96"/>
    <w:rsid w:val="00E4052C"/>
    <w:rsid w:val="00E61F0A"/>
    <w:rsid w:val="00E903DF"/>
    <w:rsid w:val="00E906C9"/>
    <w:rsid w:val="00EA0590"/>
    <w:rsid w:val="00EC090E"/>
    <w:rsid w:val="00EE5E66"/>
    <w:rsid w:val="00EF2B74"/>
    <w:rsid w:val="00F00381"/>
    <w:rsid w:val="00F30617"/>
    <w:rsid w:val="00F43B34"/>
    <w:rsid w:val="00F57DA1"/>
    <w:rsid w:val="00F60B78"/>
    <w:rsid w:val="00F6446C"/>
    <w:rsid w:val="00F85928"/>
    <w:rsid w:val="00F91375"/>
    <w:rsid w:val="00F96748"/>
    <w:rsid w:val="00FA0E9B"/>
    <w:rsid w:val="00FA36DA"/>
    <w:rsid w:val="00FD3675"/>
    <w:rsid w:val="00FD3FA9"/>
    <w:rsid w:val="63E067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B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2E6B43"/>
    <w:rPr>
      <w:rFonts w:ascii="宋体" w:eastAsia="宋体"/>
      <w:sz w:val="18"/>
      <w:szCs w:val="18"/>
    </w:rPr>
  </w:style>
  <w:style w:type="paragraph" w:styleId="a4">
    <w:name w:val="Body Text"/>
    <w:basedOn w:val="a"/>
    <w:link w:val="Char0"/>
    <w:uiPriority w:val="1"/>
    <w:qFormat/>
    <w:rsid w:val="002E6B43"/>
    <w:pPr>
      <w:autoSpaceDE w:val="0"/>
      <w:autoSpaceDN w:val="0"/>
      <w:jc w:val="left"/>
    </w:pPr>
    <w:rPr>
      <w:rFonts w:ascii="宋体" w:eastAsia="宋体" w:hAnsi="宋体" w:cs="宋体"/>
      <w:kern w:val="0"/>
      <w:sz w:val="23"/>
      <w:szCs w:val="23"/>
    </w:rPr>
  </w:style>
  <w:style w:type="paragraph" w:styleId="a5">
    <w:name w:val="Balloon Text"/>
    <w:basedOn w:val="a"/>
    <w:link w:val="Char1"/>
    <w:uiPriority w:val="99"/>
    <w:semiHidden/>
    <w:unhideWhenUsed/>
    <w:rsid w:val="002E6B43"/>
    <w:rPr>
      <w:sz w:val="18"/>
      <w:szCs w:val="18"/>
    </w:rPr>
  </w:style>
  <w:style w:type="paragraph" w:styleId="a6">
    <w:name w:val="footer"/>
    <w:basedOn w:val="a"/>
    <w:link w:val="Char2"/>
    <w:uiPriority w:val="99"/>
    <w:unhideWhenUsed/>
    <w:rsid w:val="002E6B43"/>
    <w:pPr>
      <w:tabs>
        <w:tab w:val="center" w:pos="4153"/>
        <w:tab w:val="right" w:pos="8306"/>
      </w:tabs>
      <w:snapToGrid w:val="0"/>
      <w:jc w:val="left"/>
    </w:pPr>
    <w:rPr>
      <w:sz w:val="18"/>
      <w:szCs w:val="18"/>
    </w:rPr>
  </w:style>
  <w:style w:type="paragraph" w:styleId="a7">
    <w:name w:val="header"/>
    <w:basedOn w:val="a"/>
    <w:link w:val="Char3"/>
    <w:uiPriority w:val="99"/>
    <w:unhideWhenUsed/>
    <w:rsid w:val="002E6B4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2E6B43"/>
    <w:rPr>
      <w:sz w:val="18"/>
      <w:szCs w:val="18"/>
    </w:rPr>
  </w:style>
  <w:style w:type="character" w:customStyle="1" w:styleId="Char2">
    <w:name w:val="页脚 Char"/>
    <w:basedOn w:val="a0"/>
    <w:link w:val="a6"/>
    <w:uiPriority w:val="99"/>
    <w:qFormat/>
    <w:rsid w:val="002E6B43"/>
    <w:rPr>
      <w:sz w:val="18"/>
      <w:szCs w:val="18"/>
    </w:rPr>
  </w:style>
  <w:style w:type="paragraph" w:styleId="a8">
    <w:name w:val="List Paragraph"/>
    <w:basedOn w:val="a"/>
    <w:uiPriority w:val="34"/>
    <w:qFormat/>
    <w:rsid w:val="002E6B43"/>
    <w:pPr>
      <w:ind w:firstLineChars="200" w:firstLine="420"/>
    </w:pPr>
  </w:style>
  <w:style w:type="character" w:customStyle="1" w:styleId="Char">
    <w:name w:val="文档结构图 Char"/>
    <w:basedOn w:val="a0"/>
    <w:link w:val="a3"/>
    <w:uiPriority w:val="99"/>
    <w:semiHidden/>
    <w:rsid w:val="002E6B43"/>
    <w:rPr>
      <w:rFonts w:ascii="宋体" w:eastAsia="宋体"/>
      <w:sz w:val="18"/>
      <w:szCs w:val="18"/>
    </w:rPr>
  </w:style>
  <w:style w:type="character" w:customStyle="1" w:styleId="Char1">
    <w:name w:val="批注框文本 Char"/>
    <w:basedOn w:val="a0"/>
    <w:link w:val="a5"/>
    <w:uiPriority w:val="99"/>
    <w:semiHidden/>
    <w:qFormat/>
    <w:rsid w:val="002E6B43"/>
    <w:rPr>
      <w:sz w:val="18"/>
      <w:szCs w:val="18"/>
    </w:rPr>
  </w:style>
  <w:style w:type="character" w:customStyle="1" w:styleId="Char0">
    <w:name w:val="正文文本 Char"/>
    <w:basedOn w:val="a0"/>
    <w:link w:val="a4"/>
    <w:uiPriority w:val="1"/>
    <w:rsid w:val="002E6B43"/>
    <w:rPr>
      <w:rFonts w:ascii="宋体" w:eastAsia="宋体" w:hAnsi="宋体" w:cs="宋体"/>
      <w:kern w:val="0"/>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666</Characters>
  <Application>Microsoft Office Word</Application>
  <DocSecurity>4</DocSecurity>
  <Lines>5</Lines>
  <Paragraphs>1</Paragraphs>
  <ScaleCrop>false</ScaleCrop>
  <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H00395</dc:creator>
  <cp:lastModifiedBy>ZHONGM</cp:lastModifiedBy>
  <cp:revision>2</cp:revision>
  <dcterms:created xsi:type="dcterms:W3CDTF">2025-12-28T16:00:00Z</dcterms:created>
  <dcterms:modified xsi:type="dcterms:W3CDTF">2025-12-28T16:00:00Z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08D295025B6A45D0BEE9CC41509CD537_12</vt:lpwstr>
  </property>
</Properties>
</file>