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B72" w:rsidRDefault="00C44B72">
      <w:pPr>
        <w:autoSpaceDE w:val="0"/>
        <w:autoSpaceDN w:val="0"/>
        <w:adjustRightInd w:val="0"/>
        <w:spacing w:line="360" w:lineRule="auto"/>
        <w:jc w:val="left"/>
        <w:rPr>
          <w:rFonts w:ascii="MS Sans Serif" w:hAnsi="MS Sans Serif" w:cs="MS Sans Serif"/>
          <w:color w:val="000000"/>
          <w:kern w:val="0"/>
          <w:sz w:val="24"/>
          <w:szCs w:val="24"/>
        </w:rPr>
      </w:pPr>
    </w:p>
    <w:p w:rsidR="00C44B72" w:rsidRDefault="007843FE">
      <w:pPr>
        <w:autoSpaceDE w:val="0"/>
        <w:autoSpaceDN w:val="0"/>
        <w:adjustRightInd w:val="0"/>
        <w:spacing w:before="30" w:line="360" w:lineRule="auto"/>
        <w:ind w:left="15"/>
        <w:jc w:val="center"/>
        <w:rPr>
          <w:rFonts w:ascii="宋体" w:hAnsi="Arial" w:cs="宋体"/>
          <w:b/>
          <w:bCs/>
          <w:color w:val="000000"/>
          <w:kern w:val="0"/>
          <w:sz w:val="24"/>
          <w:szCs w:val="24"/>
        </w:rPr>
      </w:pPr>
      <w:r>
        <w:rPr>
          <w:rFonts w:ascii="宋体" w:hAnsi="Arial" w:cs="宋体" w:hint="eastAsia"/>
          <w:b/>
          <w:bCs/>
          <w:color w:val="000000"/>
          <w:kern w:val="0"/>
          <w:sz w:val="24"/>
          <w:szCs w:val="24"/>
        </w:rPr>
        <w:t>安信基金管理有限责任公司关于安信永宁一年定期开放债券型发起式证券投资基金</w:t>
      </w:r>
    </w:p>
    <w:p w:rsidR="00C44B72" w:rsidRDefault="007843FE">
      <w:pPr>
        <w:autoSpaceDE w:val="0"/>
        <w:autoSpaceDN w:val="0"/>
        <w:adjustRightInd w:val="0"/>
        <w:spacing w:before="30" w:line="360" w:lineRule="auto"/>
        <w:ind w:left="15"/>
        <w:jc w:val="center"/>
        <w:rPr>
          <w:rFonts w:ascii="宋体" w:hAnsi="Arial" w:cs="宋体"/>
          <w:b/>
          <w:bCs/>
          <w:color w:val="000000"/>
          <w:kern w:val="0"/>
          <w:sz w:val="24"/>
          <w:szCs w:val="24"/>
        </w:rPr>
      </w:pPr>
      <w:r>
        <w:rPr>
          <w:rFonts w:ascii="宋体" w:hAnsi="Arial" w:cs="宋体" w:hint="eastAsia"/>
          <w:b/>
          <w:bCs/>
          <w:color w:val="000000"/>
          <w:kern w:val="0"/>
          <w:sz w:val="24"/>
          <w:szCs w:val="24"/>
        </w:rPr>
        <w:t>20</w:t>
      </w:r>
      <w:r>
        <w:rPr>
          <w:rFonts w:ascii="宋体" w:hAnsi="Arial" w:cs="宋体"/>
          <w:b/>
          <w:bCs/>
          <w:color w:val="000000"/>
          <w:kern w:val="0"/>
          <w:sz w:val="24"/>
          <w:szCs w:val="24"/>
        </w:rPr>
        <w:t>2</w:t>
      </w:r>
      <w:r>
        <w:rPr>
          <w:rFonts w:ascii="宋体" w:hAnsi="Arial" w:cs="宋体" w:hint="eastAsia"/>
          <w:b/>
          <w:bCs/>
          <w:color w:val="000000"/>
          <w:kern w:val="0"/>
          <w:sz w:val="24"/>
          <w:szCs w:val="24"/>
        </w:rPr>
        <w:t>6</w:t>
      </w:r>
      <w:r>
        <w:rPr>
          <w:rFonts w:ascii="宋体" w:hAnsi="Arial" w:cs="宋体" w:hint="eastAsia"/>
          <w:b/>
          <w:bCs/>
          <w:color w:val="000000"/>
          <w:kern w:val="0"/>
          <w:sz w:val="24"/>
          <w:szCs w:val="24"/>
        </w:rPr>
        <w:t>年度开放申购、赎回和转换业务的</w:t>
      </w:r>
      <w:r>
        <w:rPr>
          <w:rFonts w:cs="宋体" w:hint="eastAsia"/>
          <w:b/>
          <w:bCs/>
          <w:color w:val="000000"/>
          <w:kern w:val="0"/>
          <w:sz w:val="24"/>
          <w:szCs w:val="24"/>
        </w:rPr>
        <w:t>公告</w:t>
      </w:r>
    </w:p>
    <w:p w:rsidR="00C44B72" w:rsidRDefault="00C44B72">
      <w:pPr>
        <w:autoSpaceDE w:val="0"/>
        <w:autoSpaceDN w:val="0"/>
        <w:adjustRightInd w:val="0"/>
        <w:spacing w:line="360" w:lineRule="auto"/>
        <w:jc w:val="right"/>
        <w:rPr>
          <w:rFonts w:ascii="MS Sans Serif" w:hAnsi="MS Sans Serif" w:cs="MS Sans Serif"/>
          <w:color w:val="000000"/>
          <w:kern w:val="0"/>
          <w:sz w:val="8"/>
          <w:szCs w:val="8"/>
        </w:rPr>
      </w:pPr>
    </w:p>
    <w:p w:rsidR="00C44B72" w:rsidRDefault="007843FE">
      <w:pPr>
        <w:autoSpaceDE w:val="0"/>
        <w:autoSpaceDN w:val="0"/>
        <w:adjustRightInd w:val="0"/>
        <w:spacing w:before="30" w:line="360" w:lineRule="auto"/>
        <w:ind w:left="15"/>
        <w:jc w:val="center"/>
        <w:rPr>
          <w:rFonts w:ascii="宋体" w:hAnsi="Arial" w:cs="宋体"/>
          <w:color w:val="000000"/>
          <w:kern w:val="0"/>
          <w:sz w:val="24"/>
          <w:szCs w:val="24"/>
        </w:rPr>
      </w:pPr>
      <w:r>
        <w:rPr>
          <w:rFonts w:ascii="宋体" w:hAnsi="Arial" w:cs="宋体" w:hint="eastAsia"/>
          <w:color w:val="000000"/>
          <w:kern w:val="0"/>
          <w:sz w:val="24"/>
          <w:szCs w:val="24"/>
        </w:rPr>
        <w:t>公告送出日期：</w:t>
      </w:r>
      <w:r>
        <w:rPr>
          <w:rFonts w:ascii="宋体" w:hAnsi="Arial" w:cs="宋体"/>
          <w:color w:val="000000"/>
          <w:kern w:val="0"/>
          <w:sz w:val="24"/>
          <w:szCs w:val="24"/>
        </w:rPr>
        <w:t>20</w:t>
      </w:r>
      <w:r>
        <w:rPr>
          <w:rFonts w:ascii="宋体" w:hAnsi="Arial" w:cs="宋体" w:hint="eastAsia"/>
          <w:color w:val="000000"/>
          <w:kern w:val="0"/>
          <w:sz w:val="24"/>
          <w:szCs w:val="24"/>
        </w:rPr>
        <w:t>25</w:t>
      </w:r>
      <w:r>
        <w:rPr>
          <w:rFonts w:ascii="宋体" w:hAnsi="Arial" w:cs="宋体" w:hint="eastAsia"/>
          <w:color w:val="000000"/>
          <w:kern w:val="0"/>
          <w:sz w:val="24"/>
          <w:szCs w:val="24"/>
        </w:rPr>
        <w:t>年</w:t>
      </w:r>
      <w:r>
        <w:rPr>
          <w:rFonts w:ascii="宋体" w:hAnsi="Arial" w:cs="宋体"/>
          <w:color w:val="000000"/>
          <w:kern w:val="0"/>
          <w:sz w:val="24"/>
          <w:szCs w:val="24"/>
        </w:rPr>
        <w:t>12</w:t>
      </w:r>
      <w:r>
        <w:rPr>
          <w:rFonts w:ascii="宋体" w:hAnsi="Arial" w:cs="宋体" w:hint="eastAsia"/>
          <w:color w:val="000000"/>
          <w:kern w:val="0"/>
          <w:sz w:val="24"/>
          <w:szCs w:val="24"/>
        </w:rPr>
        <w:t>月</w:t>
      </w:r>
      <w:r>
        <w:rPr>
          <w:rFonts w:ascii="宋体" w:hAnsi="Arial" w:cs="宋体" w:hint="eastAsia"/>
          <w:color w:val="000000"/>
          <w:kern w:val="0"/>
          <w:sz w:val="24"/>
          <w:szCs w:val="24"/>
        </w:rPr>
        <w:t>29</w:t>
      </w:r>
      <w:r>
        <w:rPr>
          <w:rFonts w:ascii="宋体" w:hAnsi="Arial" w:cs="宋体" w:hint="eastAsia"/>
          <w:color w:val="000000"/>
          <w:kern w:val="0"/>
          <w:sz w:val="24"/>
          <w:szCs w:val="24"/>
        </w:rPr>
        <w:t>日</w:t>
      </w: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公告基本信息</w:t>
      </w:r>
    </w:p>
    <w:tbl>
      <w:tblPr>
        <w:tblW w:w="9030" w:type="dxa"/>
        <w:tblInd w:w="108" w:type="dxa"/>
        <w:tblLayout w:type="fixed"/>
        <w:tblLook w:val="04A0"/>
      </w:tblPr>
      <w:tblGrid>
        <w:gridCol w:w="2717"/>
        <w:gridCol w:w="6313"/>
      </w:tblGrid>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基金名称</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安信永宁一年定期开放债券型发起式证券投资基金</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基金简称</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安信永宁一年定开债券发起式</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基金主代码</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01444</w:t>
            </w:r>
            <w:r>
              <w:rPr>
                <w:rFonts w:ascii="宋体" w:hAnsi="Arial" w:cs="宋体"/>
                <w:color w:val="000000"/>
                <w:kern w:val="0"/>
                <w:sz w:val="24"/>
                <w:szCs w:val="24"/>
              </w:rPr>
              <w:t>8</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基金运作方式</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rPr>
                <w:sz w:val="24"/>
                <w:szCs w:val="24"/>
              </w:rPr>
            </w:pPr>
            <w:r>
              <w:rPr>
                <w:rFonts w:hint="eastAsia"/>
                <w:sz w:val="24"/>
                <w:szCs w:val="24"/>
              </w:rPr>
              <w:t>契约型，定期开放式</w:t>
            </w:r>
          </w:p>
          <w:p w:rsidR="00C44B72" w:rsidRDefault="007843FE">
            <w:pPr>
              <w:rPr>
                <w:sz w:val="24"/>
                <w:szCs w:val="24"/>
              </w:rPr>
            </w:pPr>
            <w:r>
              <w:rPr>
                <w:rFonts w:hint="eastAsia"/>
                <w:sz w:val="24"/>
                <w:szCs w:val="24"/>
              </w:rPr>
              <w:t>本基金以定期开放方式运作，即采用封闭运作和开放运作交替循环的方式。</w:t>
            </w:r>
          </w:p>
          <w:p w:rsidR="00C44B72" w:rsidRDefault="007843FE">
            <w:pPr>
              <w:rPr>
                <w:sz w:val="24"/>
                <w:szCs w:val="24"/>
              </w:rPr>
            </w:pPr>
            <w:r>
              <w:rPr>
                <w:rFonts w:hint="eastAsia"/>
                <w:sz w:val="24"/>
                <w:szCs w:val="24"/>
              </w:rPr>
              <w:t>本基金的封闭期为基金合同生效日起（包括该日）或自每一开放期结束之日次日起（包括该日）至一年后的年度对日的前一日（包括该日）之间的期间，若该年度对日不存在对应日期的，则该年度对日为该特定日期在后续日历年度中所在月度的最后一日；若该年度对日为非工作日，则顺延至下一个工作日。本基金的第一个封闭期为自本基金基金合同生效日起（包括该日）至一年后的年度对日的前一日（包括该日）之间的期间。第二个封闭期为自首个开放期结束之日次日起（包括该日）至一年后的年度对日的前一日（包括该日）之间的期间，以此类推。本基金封闭</w:t>
            </w:r>
            <w:r>
              <w:rPr>
                <w:rFonts w:hint="eastAsia"/>
                <w:sz w:val="24"/>
                <w:szCs w:val="24"/>
              </w:rPr>
              <w:t>期内不办理申</w:t>
            </w:r>
            <w:r>
              <w:rPr>
                <w:rFonts w:hint="eastAsia"/>
                <w:sz w:val="24"/>
                <w:szCs w:val="24"/>
              </w:rPr>
              <w:t>购与赎回业务。</w:t>
            </w:r>
          </w:p>
          <w:p w:rsidR="00C44B72" w:rsidRDefault="007843FE">
            <w:pPr>
              <w:rPr>
                <w:kern w:val="0"/>
                <w:sz w:val="24"/>
                <w:szCs w:val="24"/>
              </w:rPr>
            </w:pPr>
            <w:r>
              <w:rPr>
                <w:rFonts w:hint="eastAsia"/>
                <w:sz w:val="24"/>
                <w:szCs w:val="24"/>
              </w:rPr>
              <w:t>本基金每个封闭期结束之后第一个工作日起进入开放期，开放期期间可以办理申购与赎回业务。本基金每个开放期为每个封闭期结束之后第一个工作日起（包括该日）不少于</w:t>
            </w:r>
            <w:r>
              <w:rPr>
                <w:rFonts w:hint="eastAsia"/>
                <w:sz w:val="24"/>
                <w:szCs w:val="24"/>
              </w:rPr>
              <w:t>1</w:t>
            </w:r>
            <w:r>
              <w:rPr>
                <w:rFonts w:hint="eastAsia"/>
                <w:sz w:val="24"/>
                <w:szCs w:val="24"/>
              </w:rPr>
              <w:t>个工作日并且不超过</w:t>
            </w:r>
            <w:r>
              <w:rPr>
                <w:rFonts w:hint="eastAsia"/>
                <w:sz w:val="24"/>
                <w:szCs w:val="24"/>
              </w:rPr>
              <w:t>20</w:t>
            </w:r>
            <w:r>
              <w:rPr>
                <w:rFonts w:hint="eastAsia"/>
                <w:sz w:val="24"/>
                <w:szCs w:val="24"/>
              </w:rPr>
              <w:t>个工作日的期间，具体时间由基金管理人在开放期前在规定媒介上予以公告。每个封闭期结束后或在开放期内，因不可抗力或其他情形致使本基金无法按时开放申购或赎回，或依据基金合同需暂停申购或赎回业务的，开放期相应顺延，具体时间以基金管理人届时的公告为准。</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基金合同生效日</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20</w:t>
            </w:r>
            <w:r>
              <w:rPr>
                <w:rFonts w:ascii="宋体" w:hAnsi="Arial" w:cs="宋体"/>
                <w:color w:val="000000"/>
                <w:kern w:val="0"/>
                <w:sz w:val="24"/>
                <w:szCs w:val="24"/>
              </w:rPr>
              <w:t>2</w:t>
            </w:r>
            <w:r>
              <w:rPr>
                <w:rFonts w:ascii="宋体" w:hAnsi="Arial" w:cs="宋体" w:hint="eastAsia"/>
                <w:color w:val="000000"/>
                <w:kern w:val="0"/>
                <w:sz w:val="24"/>
                <w:szCs w:val="24"/>
              </w:rPr>
              <w:t>1-12-16</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基金管理人名称</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安信基金管理有限责</w:t>
            </w:r>
            <w:r>
              <w:rPr>
                <w:rFonts w:ascii="宋体" w:hAnsi="Arial" w:cs="宋体" w:hint="eastAsia"/>
                <w:color w:val="000000"/>
                <w:kern w:val="0"/>
                <w:sz w:val="24"/>
                <w:szCs w:val="24"/>
              </w:rPr>
              <w:t>任公司</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基金托管人名称</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color w:val="000000"/>
                <w:kern w:val="0"/>
                <w:sz w:val="24"/>
                <w:szCs w:val="24"/>
              </w:rPr>
              <w:t>杭州银行股份有限公司</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hint="eastAsia"/>
                <w:sz w:val="24"/>
                <w:szCs w:val="24"/>
              </w:rPr>
              <w:t>基金份额</w:t>
            </w:r>
            <w:r>
              <w:rPr>
                <w:sz w:val="24"/>
                <w:szCs w:val="24"/>
              </w:rPr>
              <w:t>登记机构</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安信基金管理有限责任公司</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公告依据</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cs="宋体" w:hint="eastAsia"/>
                <w:color w:val="000000"/>
                <w:kern w:val="0"/>
                <w:sz w:val="24"/>
                <w:szCs w:val="24"/>
              </w:rPr>
              <w:t>《中华人民共和国证券投资基金法》、《公开募集证券投</w:t>
            </w:r>
            <w:r>
              <w:rPr>
                <w:rFonts w:cs="宋体" w:hint="eastAsia"/>
                <w:color w:val="000000"/>
                <w:kern w:val="0"/>
                <w:sz w:val="24"/>
                <w:szCs w:val="24"/>
              </w:rPr>
              <w:lastRenderedPageBreak/>
              <w:t>资基金运作管理办法》、《公开募集证券投资基金信息披露管理办法》等相关法律法规以及《安信永宁一年定期开放债券型发起式证券投资基金基金合同》、《安信永宁一年定期开放债券型发起式证券投资基金招募说明书》及相关公告。</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lastRenderedPageBreak/>
              <w:t>申购起始日</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20</w:t>
            </w:r>
            <w:r>
              <w:rPr>
                <w:rFonts w:ascii="宋体" w:hAnsi="Arial" w:cs="宋体"/>
                <w:color w:val="000000"/>
                <w:kern w:val="0"/>
                <w:sz w:val="24"/>
                <w:szCs w:val="24"/>
              </w:rPr>
              <w:t>2</w:t>
            </w:r>
            <w:r>
              <w:rPr>
                <w:rFonts w:ascii="宋体" w:hAnsi="Arial" w:cs="宋体" w:hint="eastAsia"/>
                <w:color w:val="000000"/>
                <w:kern w:val="0"/>
                <w:sz w:val="24"/>
                <w:szCs w:val="24"/>
              </w:rPr>
              <w:t>6</w:t>
            </w:r>
            <w:r>
              <w:rPr>
                <w:rFonts w:ascii="宋体" w:hAnsi="Arial" w:cs="宋体" w:hint="eastAsia"/>
                <w:color w:val="000000"/>
                <w:kern w:val="0"/>
                <w:sz w:val="24"/>
                <w:szCs w:val="24"/>
              </w:rPr>
              <w:t>-</w:t>
            </w:r>
            <w:r>
              <w:rPr>
                <w:rFonts w:ascii="宋体" w:hAnsi="Arial" w:cs="宋体" w:hint="eastAsia"/>
                <w:color w:val="000000"/>
                <w:kern w:val="0"/>
                <w:sz w:val="24"/>
                <w:szCs w:val="24"/>
              </w:rPr>
              <w:t>0</w:t>
            </w:r>
            <w:r>
              <w:rPr>
                <w:rFonts w:ascii="宋体" w:hAnsi="Arial" w:cs="宋体" w:hint="eastAsia"/>
                <w:color w:val="000000"/>
                <w:kern w:val="0"/>
                <w:sz w:val="24"/>
                <w:szCs w:val="24"/>
              </w:rPr>
              <w:t>1-</w:t>
            </w:r>
            <w:r>
              <w:rPr>
                <w:rFonts w:ascii="宋体" w:hAnsi="Arial" w:cs="宋体" w:hint="eastAsia"/>
                <w:color w:val="000000"/>
                <w:kern w:val="0"/>
                <w:sz w:val="24"/>
                <w:szCs w:val="24"/>
              </w:rPr>
              <w:t>05</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ascii="宋体" w:hAnsi="Arial" w:cs="宋体" w:hint="eastAsia"/>
                <w:color w:val="000000"/>
                <w:kern w:val="0"/>
                <w:sz w:val="24"/>
                <w:szCs w:val="24"/>
              </w:rPr>
              <w:t>赎回起始日</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20</w:t>
            </w:r>
            <w:r>
              <w:rPr>
                <w:rFonts w:ascii="宋体" w:hAnsi="Arial" w:cs="宋体"/>
                <w:color w:val="000000"/>
                <w:kern w:val="0"/>
                <w:sz w:val="24"/>
                <w:szCs w:val="24"/>
              </w:rPr>
              <w:t>2</w:t>
            </w:r>
            <w:r>
              <w:rPr>
                <w:rFonts w:ascii="宋体" w:hAnsi="Arial" w:cs="宋体" w:hint="eastAsia"/>
                <w:color w:val="000000"/>
                <w:kern w:val="0"/>
                <w:sz w:val="24"/>
                <w:szCs w:val="24"/>
              </w:rPr>
              <w:t>6</w:t>
            </w:r>
            <w:r>
              <w:rPr>
                <w:rFonts w:ascii="宋体" w:hAnsi="Arial" w:cs="宋体" w:hint="eastAsia"/>
                <w:color w:val="000000"/>
                <w:kern w:val="0"/>
                <w:sz w:val="24"/>
                <w:szCs w:val="24"/>
              </w:rPr>
              <w:t>-</w:t>
            </w:r>
            <w:r>
              <w:rPr>
                <w:rFonts w:ascii="宋体" w:hAnsi="Arial" w:cs="宋体" w:hint="eastAsia"/>
                <w:color w:val="000000"/>
                <w:kern w:val="0"/>
                <w:sz w:val="24"/>
                <w:szCs w:val="24"/>
              </w:rPr>
              <w:t>0</w:t>
            </w:r>
            <w:r>
              <w:rPr>
                <w:rFonts w:ascii="宋体" w:hAnsi="Arial" w:cs="宋体" w:hint="eastAsia"/>
                <w:color w:val="000000"/>
                <w:kern w:val="0"/>
                <w:sz w:val="24"/>
                <w:szCs w:val="24"/>
              </w:rPr>
              <w:t>1-</w:t>
            </w:r>
            <w:r>
              <w:rPr>
                <w:rFonts w:ascii="宋体" w:hAnsi="Arial" w:cs="宋体" w:hint="eastAsia"/>
                <w:color w:val="000000"/>
                <w:kern w:val="0"/>
                <w:sz w:val="24"/>
                <w:szCs w:val="24"/>
              </w:rPr>
              <w:t>05</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cs="宋体" w:hint="eastAsia"/>
                <w:color w:val="000000"/>
                <w:kern w:val="0"/>
                <w:sz w:val="24"/>
                <w:szCs w:val="24"/>
              </w:rPr>
              <w:t>转换转入起始日</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20</w:t>
            </w:r>
            <w:r>
              <w:rPr>
                <w:rFonts w:ascii="宋体" w:hAnsi="Arial" w:cs="宋体"/>
                <w:color w:val="000000"/>
                <w:kern w:val="0"/>
                <w:sz w:val="24"/>
                <w:szCs w:val="24"/>
              </w:rPr>
              <w:t>2</w:t>
            </w:r>
            <w:r>
              <w:rPr>
                <w:rFonts w:ascii="宋体" w:hAnsi="Arial" w:cs="宋体" w:hint="eastAsia"/>
                <w:color w:val="000000"/>
                <w:kern w:val="0"/>
                <w:sz w:val="24"/>
                <w:szCs w:val="24"/>
              </w:rPr>
              <w:t>6</w:t>
            </w:r>
            <w:r>
              <w:rPr>
                <w:rFonts w:ascii="宋体" w:hAnsi="Arial" w:cs="宋体" w:hint="eastAsia"/>
                <w:color w:val="000000"/>
                <w:kern w:val="0"/>
                <w:sz w:val="24"/>
                <w:szCs w:val="24"/>
              </w:rPr>
              <w:t>-</w:t>
            </w:r>
            <w:r>
              <w:rPr>
                <w:rFonts w:ascii="宋体" w:hAnsi="Arial" w:cs="宋体" w:hint="eastAsia"/>
                <w:color w:val="000000"/>
                <w:kern w:val="0"/>
                <w:sz w:val="24"/>
                <w:szCs w:val="24"/>
              </w:rPr>
              <w:t>0</w:t>
            </w:r>
            <w:r>
              <w:rPr>
                <w:rFonts w:ascii="宋体" w:hAnsi="Arial" w:cs="宋体" w:hint="eastAsia"/>
                <w:color w:val="000000"/>
                <w:kern w:val="0"/>
                <w:sz w:val="24"/>
                <w:szCs w:val="24"/>
              </w:rPr>
              <w:t>1-</w:t>
            </w:r>
            <w:r>
              <w:rPr>
                <w:rFonts w:ascii="宋体" w:hAnsi="Arial" w:cs="宋体" w:hint="eastAsia"/>
                <w:color w:val="000000"/>
                <w:kern w:val="0"/>
                <w:sz w:val="24"/>
                <w:szCs w:val="24"/>
              </w:rPr>
              <w:t>05</w:t>
            </w:r>
          </w:p>
        </w:tc>
      </w:tr>
      <w:tr w:rsidR="00C44B72">
        <w:tc>
          <w:tcPr>
            <w:tcW w:w="2717"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before="30" w:line="360" w:lineRule="auto"/>
              <w:ind w:left="15"/>
              <w:rPr>
                <w:rFonts w:ascii="宋体" w:hAnsi="Arial" w:cs="宋体"/>
                <w:color w:val="000000"/>
                <w:kern w:val="0"/>
                <w:sz w:val="24"/>
                <w:szCs w:val="24"/>
              </w:rPr>
            </w:pPr>
            <w:r>
              <w:rPr>
                <w:rFonts w:cs="宋体" w:hint="eastAsia"/>
                <w:color w:val="000000"/>
                <w:kern w:val="0"/>
                <w:sz w:val="24"/>
                <w:szCs w:val="24"/>
              </w:rPr>
              <w:t>转换转出起始日</w:t>
            </w:r>
          </w:p>
        </w:tc>
        <w:tc>
          <w:tcPr>
            <w:tcW w:w="6313" w:type="dxa"/>
            <w:tcBorders>
              <w:top w:val="single" w:sz="8" w:space="0" w:color="000000"/>
              <w:left w:val="single" w:sz="8" w:space="0" w:color="000000"/>
              <w:bottom w:val="single" w:sz="8" w:space="0" w:color="000000"/>
              <w:right w:val="single" w:sz="8" w:space="0" w:color="000000"/>
            </w:tcBorders>
            <w:vAlign w:val="center"/>
          </w:tcPr>
          <w:p w:rsidR="00C44B72" w:rsidRDefault="007843FE">
            <w:pPr>
              <w:autoSpaceDE w:val="0"/>
              <w:autoSpaceDN w:val="0"/>
              <w:adjustRightInd w:val="0"/>
              <w:spacing w:line="360" w:lineRule="auto"/>
              <w:rPr>
                <w:rFonts w:ascii="宋体" w:hAnsi="Arial" w:cs="宋体"/>
                <w:color w:val="000000"/>
                <w:kern w:val="0"/>
                <w:sz w:val="24"/>
                <w:szCs w:val="24"/>
              </w:rPr>
            </w:pPr>
            <w:r>
              <w:rPr>
                <w:rFonts w:ascii="宋体" w:hAnsi="Arial" w:cs="宋体" w:hint="eastAsia"/>
                <w:color w:val="000000"/>
                <w:kern w:val="0"/>
                <w:sz w:val="24"/>
                <w:szCs w:val="24"/>
              </w:rPr>
              <w:t>20</w:t>
            </w:r>
            <w:r>
              <w:rPr>
                <w:rFonts w:ascii="宋体" w:hAnsi="Arial" w:cs="宋体"/>
                <w:color w:val="000000"/>
                <w:kern w:val="0"/>
                <w:sz w:val="24"/>
                <w:szCs w:val="24"/>
              </w:rPr>
              <w:t>2</w:t>
            </w:r>
            <w:r>
              <w:rPr>
                <w:rFonts w:ascii="宋体" w:hAnsi="Arial" w:cs="宋体" w:hint="eastAsia"/>
                <w:color w:val="000000"/>
                <w:kern w:val="0"/>
                <w:sz w:val="24"/>
                <w:szCs w:val="24"/>
              </w:rPr>
              <w:t>6</w:t>
            </w:r>
            <w:r>
              <w:rPr>
                <w:rFonts w:ascii="宋体" w:hAnsi="Arial" w:cs="宋体" w:hint="eastAsia"/>
                <w:color w:val="000000"/>
                <w:kern w:val="0"/>
                <w:sz w:val="24"/>
                <w:szCs w:val="24"/>
              </w:rPr>
              <w:t>-</w:t>
            </w:r>
            <w:r>
              <w:rPr>
                <w:rFonts w:ascii="宋体" w:hAnsi="Arial" w:cs="宋体" w:hint="eastAsia"/>
                <w:color w:val="000000"/>
                <w:kern w:val="0"/>
                <w:sz w:val="24"/>
                <w:szCs w:val="24"/>
              </w:rPr>
              <w:t>0</w:t>
            </w:r>
            <w:r>
              <w:rPr>
                <w:rFonts w:ascii="宋体" w:hAnsi="Arial" w:cs="宋体" w:hint="eastAsia"/>
                <w:color w:val="000000"/>
                <w:kern w:val="0"/>
                <w:sz w:val="24"/>
                <w:szCs w:val="24"/>
              </w:rPr>
              <w:t>1-</w:t>
            </w:r>
            <w:r>
              <w:rPr>
                <w:rFonts w:ascii="宋体" w:hAnsi="Arial" w:cs="宋体" w:hint="eastAsia"/>
                <w:color w:val="000000"/>
                <w:kern w:val="0"/>
                <w:sz w:val="24"/>
                <w:szCs w:val="24"/>
              </w:rPr>
              <w:t>05</w:t>
            </w:r>
          </w:p>
        </w:tc>
      </w:tr>
    </w:tbl>
    <w:p w:rsidR="00C44B72" w:rsidRDefault="007843FE">
      <w:pPr>
        <w:autoSpaceDE w:val="0"/>
        <w:autoSpaceDN w:val="0"/>
        <w:adjustRightInd w:val="0"/>
        <w:spacing w:line="360" w:lineRule="auto"/>
        <w:rPr>
          <w:rFonts w:ascii="宋体" w:cs="宋体"/>
          <w:color w:val="000000"/>
          <w:kern w:val="0"/>
          <w:sz w:val="24"/>
          <w:szCs w:val="24"/>
        </w:rPr>
      </w:pPr>
      <w:r>
        <w:rPr>
          <w:rFonts w:ascii="宋体" w:cs="宋体" w:hint="eastAsia"/>
          <w:color w:val="000000"/>
          <w:kern w:val="0"/>
          <w:sz w:val="24"/>
          <w:szCs w:val="24"/>
        </w:rPr>
        <w:t>注：</w:t>
      </w:r>
      <w:r>
        <w:rPr>
          <w:rFonts w:ascii="宋体" w:hAnsi="Arial" w:cs="宋体" w:hint="eastAsia"/>
          <w:color w:val="000000"/>
          <w:kern w:val="0"/>
          <w:sz w:val="24"/>
          <w:szCs w:val="24"/>
        </w:rPr>
        <w:t>安信永宁一年定开债券发起式（以下简称“本基金”）</w:t>
      </w:r>
      <w:r>
        <w:rPr>
          <w:rFonts w:ascii="宋体" w:cs="宋体" w:hint="eastAsia"/>
          <w:color w:val="000000"/>
          <w:kern w:val="0"/>
          <w:sz w:val="24"/>
          <w:szCs w:val="24"/>
        </w:rPr>
        <w:t>的本次开放</w:t>
      </w:r>
      <w:r>
        <w:rPr>
          <w:rFonts w:ascii="宋体" w:cs="宋体" w:hint="eastAsia"/>
          <w:color w:val="000000"/>
          <w:kern w:val="0"/>
          <w:sz w:val="24"/>
          <w:szCs w:val="24"/>
        </w:rPr>
        <w:t>期</w:t>
      </w:r>
      <w:r>
        <w:rPr>
          <w:rFonts w:ascii="宋体" w:cs="宋体" w:hint="eastAsia"/>
          <w:color w:val="000000"/>
          <w:kern w:val="0"/>
          <w:sz w:val="24"/>
          <w:szCs w:val="24"/>
        </w:rPr>
        <w:t>为</w:t>
      </w:r>
      <w:r>
        <w:rPr>
          <w:rFonts w:ascii="宋体" w:cs="宋体" w:hint="eastAsia"/>
          <w:color w:val="000000"/>
          <w:kern w:val="0"/>
          <w:sz w:val="24"/>
          <w:szCs w:val="24"/>
        </w:rPr>
        <w:t>20</w:t>
      </w:r>
      <w:r>
        <w:rPr>
          <w:rFonts w:ascii="宋体" w:cs="宋体"/>
          <w:color w:val="000000"/>
          <w:kern w:val="0"/>
          <w:sz w:val="24"/>
          <w:szCs w:val="24"/>
        </w:rPr>
        <w:t>2</w:t>
      </w:r>
      <w:r>
        <w:rPr>
          <w:rFonts w:ascii="宋体" w:cs="宋体" w:hint="eastAsia"/>
          <w:color w:val="000000"/>
          <w:kern w:val="0"/>
          <w:sz w:val="24"/>
          <w:szCs w:val="24"/>
        </w:rPr>
        <w:t>6</w:t>
      </w:r>
      <w:r>
        <w:rPr>
          <w:rFonts w:ascii="宋体" w:cs="宋体" w:hint="eastAsia"/>
          <w:color w:val="000000"/>
          <w:kern w:val="0"/>
          <w:sz w:val="24"/>
          <w:szCs w:val="24"/>
        </w:rPr>
        <w:t>年</w:t>
      </w:r>
      <w:r>
        <w:rPr>
          <w:rFonts w:ascii="宋体" w:cs="宋体" w:hint="eastAsia"/>
          <w:color w:val="000000"/>
          <w:kern w:val="0"/>
          <w:sz w:val="24"/>
          <w:szCs w:val="24"/>
        </w:rPr>
        <w:t>1</w:t>
      </w:r>
      <w:r>
        <w:rPr>
          <w:rFonts w:ascii="宋体" w:cs="宋体" w:hint="eastAsia"/>
          <w:color w:val="000000"/>
          <w:kern w:val="0"/>
          <w:sz w:val="24"/>
          <w:szCs w:val="24"/>
        </w:rPr>
        <w:t>月</w:t>
      </w:r>
      <w:r>
        <w:rPr>
          <w:rFonts w:ascii="宋体" w:cs="宋体" w:hint="eastAsia"/>
          <w:color w:val="000000"/>
          <w:kern w:val="0"/>
          <w:sz w:val="24"/>
          <w:szCs w:val="24"/>
        </w:rPr>
        <w:t>5</w:t>
      </w:r>
      <w:r>
        <w:rPr>
          <w:rFonts w:ascii="宋体" w:cs="宋体" w:hint="eastAsia"/>
          <w:color w:val="000000"/>
          <w:kern w:val="0"/>
          <w:sz w:val="24"/>
          <w:szCs w:val="24"/>
        </w:rPr>
        <w:t>日</w:t>
      </w:r>
      <w:r>
        <w:rPr>
          <w:rFonts w:ascii="宋体" w:cs="宋体" w:hint="eastAsia"/>
          <w:color w:val="000000"/>
          <w:kern w:val="0"/>
          <w:sz w:val="24"/>
          <w:szCs w:val="24"/>
        </w:rPr>
        <w:t>-2026</w:t>
      </w:r>
      <w:r>
        <w:rPr>
          <w:rFonts w:ascii="宋体" w:cs="宋体" w:hint="eastAsia"/>
          <w:color w:val="000000"/>
          <w:kern w:val="0"/>
          <w:sz w:val="24"/>
          <w:szCs w:val="24"/>
        </w:rPr>
        <w:t>年</w:t>
      </w:r>
      <w:r>
        <w:rPr>
          <w:rFonts w:ascii="宋体" w:cs="宋体" w:hint="eastAsia"/>
          <w:color w:val="000000"/>
          <w:kern w:val="0"/>
          <w:sz w:val="24"/>
          <w:szCs w:val="24"/>
        </w:rPr>
        <w:t>1</w:t>
      </w:r>
      <w:r>
        <w:rPr>
          <w:rFonts w:ascii="宋体" w:cs="宋体" w:hint="eastAsia"/>
          <w:color w:val="000000"/>
          <w:kern w:val="0"/>
          <w:sz w:val="24"/>
          <w:szCs w:val="24"/>
        </w:rPr>
        <w:t>月</w:t>
      </w:r>
      <w:r>
        <w:rPr>
          <w:rFonts w:ascii="宋体" w:cs="宋体" w:hint="eastAsia"/>
          <w:color w:val="000000"/>
          <w:kern w:val="0"/>
          <w:sz w:val="24"/>
          <w:szCs w:val="24"/>
        </w:rPr>
        <w:t>9</w:t>
      </w:r>
      <w:r>
        <w:rPr>
          <w:rFonts w:ascii="宋体" w:cs="宋体" w:hint="eastAsia"/>
          <w:color w:val="000000"/>
          <w:kern w:val="0"/>
          <w:sz w:val="24"/>
          <w:szCs w:val="24"/>
        </w:rPr>
        <w:t>日</w:t>
      </w:r>
      <w:r>
        <w:rPr>
          <w:rFonts w:ascii="宋体" w:cs="宋体" w:hint="eastAsia"/>
          <w:color w:val="000000"/>
          <w:kern w:val="0"/>
          <w:sz w:val="24"/>
          <w:szCs w:val="24"/>
        </w:rPr>
        <w:t>，即以上时间</w:t>
      </w:r>
      <w:r>
        <w:rPr>
          <w:rFonts w:ascii="宋体" w:cs="宋体" w:hint="eastAsia"/>
          <w:color w:val="000000"/>
          <w:kern w:val="0"/>
          <w:sz w:val="24"/>
          <w:szCs w:val="24"/>
        </w:rPr>
        <w:t>内</w:t>
      </w:r>
      <w:r>
        <w:rPr>
          <w:rFonts w:ascii="宋体" w:cs="宋体" w:hint="eastAsia"/>
          <w:color w:val="000000"/>
          <w:kern w:val="0"/>
          <w:sz w:val="24"/>
          <w:szCs w:val="24"/>
        </w:rPr>
        <w:t>办理本基金的申购、赎回和转换业务。本基金暂不开通定期定额投资业务。</w:t>
      </w:r>
    </w:p>
    <w:p w:rsidR="00C44B72" w:rsidRDefault="00C44B72">
      <w:pPr>
        <w:autoSpaceDE w:val="0"/>
        <w:autoSpaceDN w:val="0"/>
        <w:adjustRightInd w:val="0"/>
        <w:spacing w:line="360" w:lineRule="auto"/>
        <w:rPr>
          <w:rFonts w:ascii="宋体" w:cs="宋体"/>
          <w:color w:val="000000"/>
          <w:kern w:val="0"/>
          <w:sz w:val="24"/>
          <w:szCs w:val="24"/>
        </w:rPr>
      </w:pP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2 </w:t>
      </w:r>
      <w:r>
        <w:rPr>
          <w:rFonts w:ascii="宋体" w:hAnsi="Arial" w:cs="宋体" w:hint="eastAsia"/>
          <w:b/>
          <w:bCs/>
          <w:color w:val="000000"/>
          <w:kern w:val="0"/>
          <w:sz w:val="24"/>
          <w:szCs w:val="24"/>
        </w:rPr>
        <w:t>日常申购、赎回、转换业务的办理时间</w:t>
      </w:r>
    </w:p>
    <w:p w:rsidR="00C44B72" w:rsidRDefault="007843FE">
      <w:pPr>
        <w:autoSpaceDE w:val="0"/>
        <w:autoSpaceDN w:val="0"/>
        <w:adjustRightInd w:val="0"/>
        <w:spacing w:before="30" w:line="360" w:lineRule="auto"/>
        <w:ind w:left="15" w:firstLineChars="200" w:firstLine="480"/>
        <w:rPr>
          <w:rFonts w:ascii="宋体" w:cs="宋体"/>
          <w:color w:val="000000"/>
          <w:kern w:val="0"/>
          <w:sz w:val="24"/>
          <w:szCs w:val="24"/>
        </w:rPr>
      </w:pPr>
      <w:r>
        <w:rPr>
          <w:rFonts w:ascii="宋体" w:cs="宋体" w:hint="eastAsia"/>
          <w:color w:val="000000"/>
          <w:kern w:val="0"/>
          <w:sz w:val="24"/>
          <w:szCs w:val="24"/>
        </w:rPr>
        <w:t>开放期内，投资人在开放日办理基金份额的申购、赎回和转换业务，具体办理时间为上海证券交易所、深圳证券交易所的正常交易日的交易时间，但基金管理人根据法律法规、中国证监会的要求或本基金合同的规定公告暂停申购、赎回和转换业务时除外。</w:t>
      </w:r>
    </w:p>
    <w:p w:rsidR="00C44B72" w:rsidRDefault="007843FE">
      <w:pPr>
        <w:autoSpaceDE w:val="0"/>
        <w:autoSpaceDN w:val="0"/>
        <w:adjustRightInd w:val="0"/>
        <w:spacing w:before="30" w:line="360" w:lineRule="auto"/>
        <w:ind w:left="15" w:firstLineChars="200" w:firstLine="480"/>
        <w:rPr>
          <w:rFonts w:ascii="宋体" w:cs="宋体"/>
          <w:color w:val="000000"/>
          <w:kern w:val="0"/>
          <w:sz w:val="24"/>
          <w:szCs w:val="24"/>
        </w:rPr>
      </w:pPr>
      <w:r>
        <w:rPr>
          <w:rFonts w:ascii="宋体" w:cs="宋体" w:hint="eastAsia"/>
          <w:color w:val="000000"/>
          <w:kern w:val="0"/>
          <w:sz w:val="24"/>
          <w:szCs w:val="24"/>
        </w:rPr>
        <w:t>基金合同生效后，若出现新的证券</w:t>
      </w:r>
      <w:r>
        <w:rPr>
          <w:rFonts w:ascii="宋体" w:cs="宋体" w:hint="eastAsia"/>
          <w:color w:val="000000"/>
          <w:kern w:val="0"/>
          <w:sz w:val="24"/>
          <w:szCs w:val="24"/>
        </w:rPr>
        <w:t>/</w:t>
      </w:r>
      <w:r>
        <w:rPr>
          <w:rFonts w:ascii="宋体" w:cs="宋体" w:hint="eastAsia"/>
          <w:color w:val="000000"/>
          <w:kern w:val="0"/>
          <w:sz w:val="24"/>
          <w:szCs w:val="24"/>
        </w:rPr>
        <w:t>期货交易市场、证券</w:t>
      </w:r>
      <w:r>
        <w:rPr>
          <w:rFonts w:ascii="宋体" w:cs="宋体" w:hint="eastAsia"/>
          <w:color w:val="000000"/>
          <w:kern w:val="0"/>
          <w:sz w:val="24"/>
          <w:szCs w:val="24"/>
        </w:rPr>
        <w:t>/</w:t>
      </w:r>
      <w:r>
        <w:rPr>
          <w:rFonts w:ascii="宋体" w:cs="宋体" w:hint="eastAsia"/>
          <w:color w:val="000000"/>
          <w:kern w:val="0"/>
          <w:sz w:val="24"/>
          <w:szCs w:val="24"/>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C44B72" w:rsidRDefault="007843FE">
      <w:pPr>
        <w:autoSpaceDE w:val="0"/>
        <w:autoSpaceDN w:val="0"/>
        <w:adjustRightInd w:val="0"/>
        <w:spacing w:before="30" w:line="360" w:lineRule="auto"/>
        <w:ind w:left="15" w:firstLineChars="200" w:firstLine="480"/>
        <w:rPr>
          <w:rFonts w:ascii="宋体" w:cs="宋体"/>
          <w:color w:val="000000"/>
          <w:kern w:val="0"/>
          <w:sz w:val="24"/>
          <w:szCs w:val="24"/>
        </w:rPr>
      </w:pPr>
      <w:bookmarkStart w:id="0" w:name="_Hlk80186505"/>
      <w:bookmarkStart w:id="1" w:name="_Hlk80186577"/>
      <w:r>
        <w:rPr>
          <w:rFonts w:ascii="宋体" w:cs="宋体" w:hint="eastAsia"/>
          <w:color w:val="000000"/>
          <w:kern w:val="0"/>
          <w:sz w:val="24"/>
          <w:szCs w:val="24"/>
        </w:rPr>
        <w:t>基金管理人不得在基金合同约定的开放期之外的日期或者时间办理基金份额的申购、赎回或者转换。投资人在基金合同约定的开放期之外的日期和时间提出申购、赎回或转换申请且登记机构确认接受的，其基金份额申购、赎回价格为下一开放日基金份额申购、赎回的价格；但是，在开放期内最后一个开放日，投资者</w:t>
      </w:r>
      <w:r>
        <w:rPr>
          <w:rFonts w:ascii="宋体" w:cs="宋体" w:hint="eastAsia"/>
          <w:color w:val="000000"/>
          <w:kern w:val="0"/>
          <w:sz w:val="24"/>
          <w:szCs w:val="24"/>
        </w:rPr>
        <w:t>在业务办理时间结束之后提出申购、赎回或者转换申请的，视为无效申请。</w:t>
      </w:r>
      <w:bookmarkEnd w:id="0"/>
      <w:r>
        <w:rPr>
          <w:rFonts w:ascii="宋体" w:cs="宋体"/>
          <w:color w:val="000000"/>
          <w:kern w:val="0"/>
          <w:sz w:val="24"/>
          <w:szCs w:val="24"/>
        </w:rPr>
        <w:cr/>
      </w:r>
      <w:bookmarkEnd w:id="1"/>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3 </w:t>
      </w:r>
      <w:r>
        <w:rPr>
          <w:rFonts w:ascii="宋体" w:hAnsi="Arial" w:cs="宋体" w:hint="eastAsia"/>
          <w:b/>
          <w:bCs/>
          <w:color w:val="000000"/>
          <w:kern w:val="0"/>
          <w:sz w:val="24"/>
          <w:szCs w:val="24"/>
        </w:rPr>
        <w:t>日常申购业务</w:t>
      </w: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3.1 </w:t>
      </w:r>
      <w:r>
        <w:rPr>
          <w:rFonts w:ascii="宋体" w:hAnsi="Arial" w:cs="宋体" w:hint="eastAsia"/>
          <w:b/>
          <w:bCs/>
          <w:color w:val="000000"/>
          <w:kern w:val="0"/>
          <w:sz w:val="24"/>
          <w:szCs w:val="24"/>
        </w:rPr>
        <w:t>申购金额限制</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lastRenderedPageBreak/>
        <w:t>投资者通过基金管理人的直销柜台进行申购，单个基金账户单笔首次申购最低金额为</w:t>
      </w:r>
      <w:r>
        <w:rPr>
          <w:rFonts w:cs="宋体" w:hint="eastAsia"/>
          <w:color w:val="000000"/>
          <w:kern w:val="0"/>
          <w:sz w:val="24"/>
          <w:szCs w:val="24"/>
        </w:rPr>
        <w:t>50,000</w:t>
      </w:r>
      <w:r>
        <w:rPr>
          <w:rFonts w:cs="宋体" w:hint="eastAsia"/>
          <w:color w:val="000000"/>
          <w:kern w:val="0"/>
          <w:sz w:val="24"/>
          <w:szCs w:val="24"/>
        </w:rPr>
        <w:t>元（含申购费），追加申购最低金额为单笔</w:t>
      </w:r>
      <w:r>
        <w:rPr>
          <w:rFonts w:cs="宋体" w:hint="eastAsia"/>
          <w:color w:val="000000"/>
          <w:kern w:val="0"/>
          <w:sz w:val="24"/>
          <w:szCs w:val="24"/>
        </w:rPr>
        <w:t>10,000</w:t>
      </w:r>
      <w:r>
        <w:rPr>
          <w:rFonts w:cs="宋体" w:hint="eastAsia"/>
          <w:color w:val="000000"/>
          <w:kern w:val="0"/>
          <w:sz w:val="24"/>
          <w:szCs w:val="24"/>
        </w:rPr>
        <w:t>元（含申购费）。</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t>通过基金管理人网上直销进行申购，单个基金账户单笔最低申购金额为人民币</w:t>
      </w:r>
      <w:r>
        <w:rPr>
          <w:rFonts w:cs="宋体" w:hint="eastAsia"/>
          <w:color w:val="000000"/>
          <w:kern w:val="0"/>
          <w:sz w:val="24"/>
          <w:szCs w:val="24"/>
        </w:rPr>
        <w:t>1</w:t>
      </w:r>
      <w:r>
        <w:rPr>
          <w:rFonts w:cs="宋体" w:hint="eastAsia"/>
          <w:color w:val="000000"/>
          <w:kern w:val="0"/>
          <w:sz w:val="24"/>
          <w:szCs w:val="24"/>
        </w:rPr>
        <w:t>元（含申购费），追加申购最低金额为单笔人民币</w:t>
      </w:r>
      <w:r>
        <w:rPr>
          <w:rFonts w:cs="宋体" w:hint="eastAsia"/>
          <w:color w:val="000000"/>
          <w:kern w:val="0"/>
          <w:sz w:val="24"/>
          <w:szCs w:val="24"/>
        </w:rPr>
        <w:t>1</w:t>
      </w:r>
      <w:r>
        <w:rPr>
          <w:rFonts w:cs="宋体" w:hint="eastAsia"/>
          <w:color w:val="000000"/>
          <w:kern w:val="0"/>
          <w:sz w:val="24"/>
          <w:szCs w:val="24"/>
        </w:rPr>
        <w:t>元（含申购费），网上直销单笔交易上限及单日累计交易上限请参照网上直销说明。</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t>通过本基金除基金管理人以外的其他销售机构进行申购，首次申购最低金额为人民币</w:t>
      </w:r>
      <w:r>
        <w:rPr>
          <w:rFonts w:cs="宋体" w:hint="eastAsia"/>
          <w:color w:val="000000"/>
          <w:kern w:val="0"/>
          <w:sz w:val="24"/>
          <w:szCs w:val="24"/>
        </w:rPr>
        <w:t>1</w:t>
      </w:r>
      <w:r>
        <w:rPr>
          <w:rFonts w:cs="宋体" w:hint="eastAsia"/>
          <w:color w:val="000000"/>
          <w:kern w:val="0"/>
          <w:sz w:val="24"/>
          <w:szCs w:val="24"/>
        </w:rPr>
        <w:t>元（含申购费），追加申购的最低金额为人民币</w:t>
      </w:r>
      <w:r>
        <w:rPr>
          <w:rFonts w:cs="宋体" w:hint="eastAsia"/>
          <w:color w:val="000000"/>
          <w:kern w:val="0"/>
          <w:sz w:val="24"/>
          <w:szCs w:val="24"/>
        </w:rPr>
        <w:t>1</w:t>
      </w:r>
      <w:r>
        <w:rPr>
          <w:rFonts w:cs="宋体" w:hint="eastAsia"/>
          <w:color w:val="000000"/>
          <w:kern w:val="0"/>
          <w:sz w:val="24"/>
          <w:szCs w:val="24"/>
        </w:rPr>
        <w:t>元（含申购费）；各销售机构对最低申购限额及交易级差有其他规定的，以各销售机构的业务规定为准。</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t>投资人将持有的基金份额当期分配的基金收益转为基金份额时，不受最低申购金额的限制。</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t>本基金单一投资者持有的基金份额或者构成一致行动人的多个投资者持有的基金份额可达到或者超过</w:t>
      </w:r>
      <w:r>
        <w:rPr>
          <w:rFonts w:cs="宋体" w:hint="eastAsia"/>
          <w:color w:val="000000"/>
          <w:kern w:val="0"/>
          <w:sz w:val="24"/>
          <w:szCs w:val="24"/>
        </w:rPr>
        <w:t>50%</w:t>
      </w:r>
      <w:r>
        <w:rPr>
          <w:rFonts w:cs="宋体" w:hint="eastAsia"/>
          <w:color w:val="000000"/>
          <w:kern w:val="0"/>
          <w:sz w:val="24"/>
          <w:szCs w:val="24"/>
        </w:rPr>
        <w:t>，本基金不向个人投资者公开发售。</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C44B72" w:rsidRDefault="00C44B72">
      <w:pPr>
        <w:autoSpaceDE w:val="0"/>
        <w:autoSpaceDN w:val="0"/>
        <w:adjustRightInd w:val="0"/>
        <w:spacing w:before="30" w:line="360" w:lineRule="auto"/>
        <w:ind w:left="17" w:firstLineChars="200" w:firstLine="480"/>
        <w:rPr>
          <w:rFonts w:cs="宋体"/>
          <w:color w:val="000000"/>
          <w:kern w:val="0"/>
          <w:sz w:val="24"/>
          <w:szCs w:val="24"/>
        </w:rPr>
      </w:pP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3.2 </w:t>
      </w:r>
      <w:r>
        <w:rPr>
          <w:rFonts w:ascii="宋体" w:hAnsi="Arial" w:cs="宋体" w:hint="eastAsia"/>
          <w:b/>
          <w:bCs/>
          <w:color w:val="000000"/>
          <w:kern w:val="0"/>
          <w:sz w:val="24"/>
          <w:szCs w:val="24"/>
        </w:rPr>
        <w:t>申购费率</w:t>
      </w:r>
    </w:p>
    <w:p w:rsidR="00C44B72" w:rsidRDefault="007843FE">
      <w:pPr>
        <w:autoSpaceDE w:val="0"/>
        <w:autoSpaceDN w:val="0"/>
        <w:adjustRightInd w:val="0"/>
        <w:spacing w:before="30" w:line="360" w:lineRule="auto"/>
        <w:ind w:left="15" w:firstLineChars="200" w:firstLine="480"/>
        <w:rPr>
          <w:rFonts w:ascii="宋体" w:cs="宋体"/>
          <w:color w:val="000000"/>
          <w:kern w:val="0"/>
          <w:sz w:val="24"/>
          <w:szCs w:val="24"/>
        </w:rPr>
      </w:pPr>
      <w:r>
        <w:rPr>
          <w:rFonts w:ascii="宋体" w:cs="宋体" w:hint="eastAsia"/>
          <w:color w:val="000000"/>
          <w:kern w:val="0"/>
          <w:sz w:val="24"/>
          <w:szCs w:val="24"/>
        </w:rPr>
        <w:t>本基金基金份额在投资人申购时收取申购费。</w:t>
      </w:r>
    </w:p>
    <w:p w:rsidR="00C44B72" w:rsidRDefault="007843FE">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本基金基金份额对申购设置级差费率，申购费率随申购金额的增加而递减。投资人在一天之内如果有多笔申购，适用费率按单笔分别计算。</w:t>
      </w:r>
    </w:p>
    <w:p w:rsidR="00C44B72" w:rsidRDefault="007843FE">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本基金对通过直销中心</w:t>
      </w:r>
      <w:r>
        <w:rPr>
          <w:rFonts w:ascii="宋体" w:cs="宋体" w:hint="eastAsia"/>
          <w:color w:val="000000"/>
          <w:kern w:val="0"/>
          <w:sz w:val="24"/>
          <w:szCs w:val="24"/>
        </w:rPr>
        <w:t>申购基金份额的养老金客户与除此之外的其他投资者实施差别的申购费率。</w:t>
      </w:r>
    </w:p>
    <w:p w:rsidR="00C44B72" w:rsidRDefault="007843FE">
      <w:pPr>
        <w:autoSpaceDE w:val="0"/>
        <w:autoSpaceDN w:val="0"/>
        <w:adjustRightInd w:val="0"/>
        <w:spacing w:before="30" w:line="360" w:lineRule="auto"/>
        <w:ind w:left="15" w:firstLineChars="200" w:firstLine="480"/>
        <w:rPr>
          <w:rFonts w:ascii="宋体" w:hAnsi="Arial" w:cs="宋体"/>
          <w:color w:val="000000"/>
          <w:kern w:val="0"/>
          <w:sz w:val="24"/>
          <w:szCs w:val="24"/>
        </w:rPr>
      </w:pPr>
      <w:r>
        <w:rPr>
          <w:rFonts w:ascii="宋体" w:hAnsi="Arial" w:cs="宋体" w:hint="eastAsia"/>
          <w:color w:val="000000"/>
          <w:kern w:val="0"/>
          <w:sz w:val="24"/>
          <w:szCs w:val="24"/>
        </w:rPr>
        <w:t>（</w:t>
      </w:r>
      <w:r>
        <w:rPr>
          <w:rFonts w:ascii="宋体" w:hAnsi="Arial" w:cs="宋体" w:hint="eastAsia"/>
          <w:color w:val="000000"/>
          <w:kern w:val="0"/>
          <w:sz w:val="24"/>
          <w:szCs w:val="24"/>
        </w:rPr>
        <w:t>1</w:t>
      </w:r>
      <w:r>
        <w:rPr>
          <w:rFonts w:ascii="宋体" w:hAnsi="Arial" w:cs="宋体" w:hint="eastAsia"/>
          <w:color w:val="000000"/>
          <w:kern w:val="0"/>
          <w:sz w:val="24"/>
          <w:szCs w:val="24"/>
        </w:rPr>
        <w:t>）通过基金管理人的直销中心申购本基金基金份额的养老金客户申购费率见下表：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844"/>
        <w:gridCol w:w="2202"/>
      </w:tblGrid>
      <w:tr w:rsidR="00C44B72">
        <w:trPr>
          <w:trHeight w:val="193"/>
          <w:jc w:val="center"/>
        </w:trPr>
        <w:tc>
          <w:tcPr>
            <w:tcW w:w="3844" w:type="dxa"/>
            <w:tcMar>
              <w:top w:w="0" w:type="dxa"/>
              <w:left w:w="108" w:type="dxa"/>
              <w:bottom w:w="0" w:type="dxa"/>
              <w:right w:w="108" w:type="dxa"/>
            </w:tcMar>
            <w:vAlign w:val="center"/>
          </w:tcPr>
          <w:p w:rsidR="00C44B72" w:rsidRDefault="007843FE">
            <w:pPr>
              <w:adjustRightInd w:val="0"/>
              <w:snapToGrid w:val="0"/>
              <w:spacing w:line="360" w:lineRule="exact"/>
              <w:ind w:firstLine="420"/>
              <w:jc w:val="center"/>
              <w:rPr>
                <w:rFonts w:ascii="宋体" w:cs="宋体"/>
                <w:color w:val="000000"/>
                <w:kern w:val="0"/>
                <w:sz w:val="24"/>
                <w:szCs w:val="24"/>
              </w:rPr>
            </w:pPr>
            <w:r>
              <w:rPr>
                <w:rFonts w:ascii="宋体" w:cs="宋体"/>
                <w:color w:val="000000"/>
                <w:kern w:val="0"/>
                <w:sz w:val="24"/>
                <w:szCs w:val="24"/>
              </w:rPr>
              <w:t>申购金额</w:t>
            </w:r>
            <w:r>
              <w:rPr>
                <w:rFonts w:ascii="宋体" w:cs="宋体" w:hint="eastAsia"/>
                <w:color w:val="000000"/>
                <w:kern w:val="0"/>
                <w:sz w:val="24"/>
                <w:szCs w:val="24"/>
              </w:rPr>
              <w:t>M</w:t>
            </w:r>
            <w:r>
              <w:rPr>
                <w:rFonts w:ascii="宋体" w:cs="宋体"/>
                <w:color w:val="000000"/>
                <w:kern w:val="0"/>
                <w:sz w:val="24"/>
                <w:szCs w:val="24"/>
              </w:rPr>
              <w:t>（</w:t>
            </w:r>
            <w:r>
              <w:rPr>
                <w:rFonts w:ascii="宋体" w:cs="宋体" w:hint="eastAsia"/>
                <w:color w:val="000000"/>
                <w:kern w:val="0"/>
                <w:sz w:val="24"/>
                <w:szCs w:val="24"/>
              </w:rPr>
              <w:t>含申购费用</w:t>
            </w:r>
            <w:r>
              <w:rPr>
                <w:rFonts w:ascii="宋体" w:cs="宋体"/>
                <w:color w:val="000000"/>
                <w:kern w:val="0"/>
                <w:sz w:val="24"/>
                <w:szCs w:val="24"/>
              </w:rPr>
              <w:t>）</w:t>
            </w:r>
          </w:p>
        </w:tc>
        <w:tc>
          <w:tcPr>
            <w:tcW w:w="2202" w:type="dxa"/>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申购费率（</w:t>
            </w:r>
            <w:r>
              <w:rPr>
                <w:rFonts w:ascii="宋体" w:cs="宋体"/>
                <w:color w:val="000000"/>
                <w:kern w:val="0"/>
                <w:sz w:val="24"/>
                <w:szCs w:val="24"/>
              </w:rPr>
              <w:t>%</w:t>
            </w:r>
            <w:r>
              <w:rPr>
                <w:rFonts w:ascii="宋体" w:cs="宋体"/>
                <w:color w:val="000000"/>
                <w:kern w:val="0"/>
                <w:sz w:val="24"/>
                <w:szCs w:val="24"/>
              </w:rPr>
              <w:t>）</w:t>
            </w:r>
          </w:p>
        </w:tc>
      </w:tr>
      <w:tr w:rsidR="00C44B72">
        <w:trPr>
          <w:trHeight w:val="193"/>
          <w:jc w:val="center"/>
        </w:trPr>
        <w:tc>
          <w:tcPr>
            <w:tcW w:w="3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w:t>
            </w:r>
            <w:r>
              <w:rPr>
                <w:rFonts w:ascii="宋体" w:cs="宋体"/>
                <w:color w:val="000000"/>
                <w:kern w:val="0"/>
                <w:sz w:val="24"/>
                <w:szCs w:val="24"/>
              </w:rPr>
              <w:t>万</w:t>
            </w:r>
          </w:p>
        </w:tc>
        <w:tc>
          <w:tcPr>
            <w:tcW w:w="2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0.08%</w:t>
            </w:r>
          </w:p>
        </w:tc>
      </w:tr>
      <w:tr w:rsidR="00C44B72">
        <w:trPr>
          <w:trHeight w:val="193"/>
          <w:jc w:val="center"/>
        </w:trPr>
        <w:tc>
          <w:tcPr>
            <w:tcW w:w="3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w:t>
            </w:r>
            <w:r>
              <w:rPr>
                <w:rFonts w:ascii="宋体" w:cs="宋体"/>
                <w:color w:val="000000"/>
                <w:kern w:val="0"/>
                <w:sz w:val="24"/>
                <w:szCs w:val="24"/>
              </w:rPr>
              <w:t>万</w:t>
            </w:r>
            <w:r>
              <w:rPr>
                <w:rFonts w:ascii="宋体" w:hAnsi="宋体" w:cs="宋体" w:hint="eastAsia"/>
              </w:rPr>
              <w:t>≤</w:t>
            </w: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500</w:t>
            </w:r>
            <w:r>
              <w:rPr>
                <w:rFonts w:ascii="宋体" w:cs="宋体"/>
                <w:color w:val="000000"/>
                <w:kern w:val="0"/>
                <w:sz w:val="24"/>
                <w:szCs w:val="24"/>
              </w:rPr>
              <w:t>万</w:t>
            </w:r>
          </w:p>
        </w:tc>
        <w:tc>
          <w:tcPr>
            <w:tcW w:w="2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0.05%</w:t>
            </w:r>
          </w:p>
        </w:tc>
      </w:tr>
      <w:tr w:rsidR="00C44B72">
        <w:trPr>
          <w:trHeight w:val="193"/>
          <w:jc w:val="center"/>
        </w:trPr>
        <w:tc>
          <w:tcPr>
            <w:tcW w:w="3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500</w:t>
            </w:r>
            <w:r>
              <w:rPr>
                <w:rFonts w:ascii="宋体" w:cs="宋体"/>
                <w:color w:val="000000"/>
                <w:kern w:val="0"/>
                <w:sz w:val="24"/>
                <w:szCs w:val="24"/>
              </w:rPr>
              <w:t>万</w:t>
            </w:r>
            <w:r>
              <w:rPr>
                <w:rFonts w:ascii="宋体" w:cs="宋体" w:hint="eastAsia"/>
              </w:rPr>
              <w:t>≤</w:t>
            </w: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1000</w:t>
            </w:r>
            <w:r>
              <w:rPr>
                <w:rFonts w:ascii="宋体" w:cs="宋体"/>
                <w:color w:val="000000"/>
                <w:kern w:val="0"/>
                <w:sz w:val="24"/>
                <w:szCs w:val="24"/>
              </w:rPr>
              <w:t>万</w:t>
            </w:r>
          </w:p>
        </w:tc>
        <w:tc>
          <w:tcPr>
            <w:tcW w:w="2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0.03%</w:t>
            </w:r>
          </w:p>
        </w:tc>
      </w:tr>
      <w:tr w:rsidR="00C44B72">
        <w:trPr>
          <w:trHeight w:val="193"/>
          <w:jc w:val="center"/>
        </w:trPr>
        <w:tc>
          <w:tcPr>
            <w:tcW w:w="3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hint="eastAsia"/>
                <w:color w:val="000000"/>
                <w:kern w:val="0"/>
                <w:sz w:val="24"/>
                <w:szCs w:val="24"/>
              </w:rPr>
              <w:t>M</w:t>
            </w:r>
            <w:r>
              <w:rPr>
                <w:rFonts w:ascii="宋体" w:hAnsi="宋体" w:cs="宋体" w:hint="eastAsia"/>
                <w:color w:val="000000"/>
                <w:kern w:val="0"/>
                <w:sz w:val="24"/>
                <w:szCs w:val="24"/>
              </w:rPr>
              <w:t>≥</w:t>
            </w:r>
            <w:r>
              <w:rPr>
                <w:rFonts w:ascii="宋体" w:cs="宋体" w:hint="eastAsia"/>
                <w:color w:val="000000"/>
                <w:kern w:val="0"/>
                <w:sz w:val="24"/>
                <w:szCs w:val="24"/>
              </w:rPr>
              <w:t xml:space="preserve">1000 </w:t>
            </w:r>
            <w:r>
              <w:rPr>
                <w:rFonts w:ascii="宋体" w:cs="宋体" w:hint="eastAsia"/>
                <w:color w:val="000000"/>
                <w:kern w:val="0"/>
                <w:sz w:val="24"/>
                <w:szCs w:val="24"/>
              </w:rPr>
              <w:t>万元</w:t>
            </w:r>
          </w:p>
        </w:tc>
        <w:tc>
          <w:tcPr>
            <w:tcW w:w="22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1000</w:t>
            </w:r>
            <w:r>
              <w:rPr>
                <w:rFonts w:ascii="宋体" w:cs="宋体"/>
                <w:color w:val="000000"/>
                <w:kern w:val="0"/>
                <w:sz w:val="24"/>
                <w:szCs w:val="24"/>
              </w:rPr>
              <w:t>元</w:t>
            </w:r>
            <w:r>
              <w:rPr>
                <w:rFonts w:ascii="宋体" w:cs="宋体"/>
                <w:color w:val="000000"/>
                <w:kern w:val="0"/>
                <w:sz w:val="24"/>
                <w:szCs w:val="24"/>
              </w:rPr>
              <w:t>/</w:t>
            </w:r>
            <w:r>
              <w:rPr>
                <w:rFonts w:ascii="宋体" w:cs="宋体"/>
                <w:color w:val="000000"/>
                <w:kern w:val="0"/>
                <w:sz w:val="24"/>
                <w:szCs w:val="24"/>
              </w:rPr>
              <w:t>笔</w:t>
            </w:r>
          </w:p>
        </w:tc>
      </w:tr>
    </w:tbl>
    <w:p w:rsidR="00C44B72" w:rsidRDefault="007843FE">
      <w:pPr>
        <w:autoSpaceDE w:val="0"/>
        <w:autoSpaceDN w:val="0"/>
        <w:adjustRightInd w:val="0"/>
        <w:spacing w:before="30" w:line="360" w:lineRule="auto"/>
        <w:ind w:left="15" w:firstLineChars="200" w:firstLine="480"/>
        <w:rPr>
          <w:rFonts w:ascii="宋体" w:hAnsi="宋体" w:cs="宋体"/>
          <w:sz w:val="24"/>
          <w:szCs w:val="24"/>
        </w:rPr>
      </w:pPr>
      <w:r>
        <w:rPr>
          <w:rFonts w:ascii="宋体" w:hAnsi="宋体" w:cs="宋体" w:hint="eastAsia"/>
          <w:color w:val="000000"/>
          <w:kern w:val="0"/>
          <w:sz w:val="24"/>
          <w:szCs w:val="24"/>
          <w:lang/>
        </w:rPr>
        <w:t>养老金客户指基本养老基金与依法成立的养老计划筹集的资金及其投资运营收益形成的补充养老基金</w:t>
      </w:r>
      <w:r>
        <w:rPr>
          <w:rFonts w:ascii="宋体" w:hAnsi="宋体" w:cs="宋体" w:hint="eastAsia"/>
          <w:color w:val="000000"/>
          <w:kern w:val="0"/>
          <w:sz w:val="24"/>
          <w:szCs w:val="24"/>
          <w:lang/>
        </w:rPr>
        <w:t>等</w:t>
      </w:r>
      <w:r>
        <w:rPr>
          <w:rFonts w:ascii="宋体" w:hAnsi="宋体" w:cs="宋体" w:hint="eastAsia"/>
          <w:color w:val="000000"/>
          <w:kern w:val="0"/>
          <w:sz w:val="24"/>
          <w:szCs w:val="24"/>
          <w:lang/>
        </w:rPr>
        <w:t>，具体包括：依法设立的基本养老保险基金、依法制定的企业年金计划筹集的资金及其投资运营收益形成的企业补充养老保险基金（包括全国社会保障基金、经监管部门批准可以投资基金的地方社会保险基金、企业年金单一计划以及集合计划、企业年金理事会委托的特定客户资产管理计划）、企业年金养老金产品、个人税收递延型商业养老保险产品、享受税收优惠的个人养老账户、养老目标基金及个人养老金投资基金、职业年金计划、养老保障管理产品、经监管部门批准可以投资基金的其他社会保险基金、企业年金或其他养老金客户类型。</w:t>
      </w:r>
      <w:r>
        <w:rPr>
          <w:rFonts w:ascii="宋体" w:hAnsi="宋体" w:cs="宋体"/>
          <w:sz w:val="24"/>
          <w:szCs w:val="24"/>
        </w:rPr>
        <w:t>养老金客户需在认购、申购（含定期</w:t>
      </w:r>
      <w:r>
        <w:rPr>
          <w:rFonts w:ascii="宋体" w:hAnsi="宋体" w:cs="宋体"/>
          <w:sz w:val="24"/>
          <w:szCs w:val="24"/>
        </w:rPr>
        <w:t>定额投资）、赎回及转换前向基金管理人登记备案，并经基金管理人确认。</w:t>
      </w:r>
    </w:p>
    <w:p w:rsidR="00C44B72" w:rsidRDefault="007843FE">
      <w:pPr>
        <w:autoSpaceDE w:val="0"/>
        <w:autoSpaceDN w:val="0"/>
        <w:adjustRightInd w:val="0"/>
        <w:spacing w:before="30" w:line="360" w:lineRule="auto"/>
        <w:ind w:left="15" w:firstLineChars="200" w:firstLine="480"/>
        <w:rPr>
          <w:rFonts w:ascii="宋体" w:hAnsi="宋体" w:cs="宋体"/>
          <w:color w:val="000000"/>
          <w:kern w:val="0"/>
          <w:sz w:val="24"/>
          <w:szCs w:val="24"/>
        </w:rPr>
      </w:pPr>
      <w:r>
        <w:rPr>
          <w:rFonts w:ascii="宋体" w:hAnsi="宋体" w:cs="宋体" w:hint="eastAsia"/>
          <w:color w:val="000000"/>
          <w:kern w:val="0"/>
          <w:sz w:val="24"/>
          <w:szCs w:val="24"/>
          <w:lang/>
        </w:rPr>
        <w:t>如将来出现经监管部门批准可以投资基金的其他社会保险基金、经养老基金监管部门认可的新的养老基金类型等，基金管理人将在招募说明书更新时或发布临时公告将其纳入养老金客户范围</w:t>
      </w:r>
      <w:r>
        <w:rPr>
          <w:rFonts w:ascii="宋体" w:hAnsi="宋体" w:cs="宋体" w:hint="eastAsia"/>
          <w:color w:val="000000"/>
          <w:kern w:val="0"/>
          <w:sz w:val="24"/>
          <w:szCs w:val="24"/>
          <w:lang/>
        </w:rPr>
        <w:t>。</w:t>
      </w:r>
    </w:p>
    <w:p w:rsidR="00C44B72" w:rsidRDefault="007843FE">
      <w:pPr>
        <w:autoSpaceDE w:val="0"/>
        <w:autoSpaceDN w:val="0"/>
        <w:adjustRightInd w:val="0"/>
        <w:spacing w:before="30" w:line="360" w:lineRule="auto"/>
        <w:ind w:left="15" w:firstLineChars="200" w:firstLine="480"/>
        <w:rPr>
          <w:rFonts w:ascii="宋体" w:cs="宋体"/>
          <w:color w:val="000000"/>
          <w:kern w:val="0"/>
          <w:sz w:val="24"/>
          <w:szCs w:val="24"/>
        </w:rPr>
      </w:pPr>
      <w:r>
        <w:rPr>
          <w:rFonts w:ascii="宋体" w:hAnsi="Arial" w:cs="宋体" w:hint="eastAsia"/>
          <w:color w:val="000000"/>
          <w:kern w:val="0"/>
          <w:sz w:val="24"/>
          <w:szCs w:val="24"/>
        </w:rPr>
        <w:t>（</w:t>
      </w:r>
      <w:r>
        <w:rPr>
          <w:rFonts w:ascii="宋体" w:hAnsi="Arial" w:cs="宋体" w:hint="eastAsia"/>
          <w:color w:val="000000"/>
          <w:kern w:val="0"/>
          <w:sz w:val="24"/>
          <w:szCs w:val="24"/>
        </w:rPr>
        <w:t>2</w:t>
      </w:r>
      <w:r>
        <w:rPr>
          <w:rFonts w:ascii="宋体" w:hAnsi="Arial" w:cs="宋体" w:hint="eastAsia"/>
          <w:color w:val="000000"/>
          <w:kern w:val="0"/>
          <w:sz w:val="24"/>
          <w:szCs w:val="24"/>
        </w:rPr>
        <w:t>）本基金其他投资者申购本基金基金份额的申购费率如下表：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670"/>
        <w:gridCol w:w="2102"/>
      </w:tblGrid>
      <w:tr w:rsidR="00C44B72">
        <w:trPr>
          <w:trHeight w:val="192"/>
          <w:jc w:val="center"/>
        </w:trPr>
        <w:tc>
          <w:tcPr>
            <w:tcW w:w="3670" w:type="dxa"/>
            <w:tcMar>
              <w:top w:w="0" w:type="dxa"/>
              <w:left w:w="108" w:type="dxa"/>
              <w:bottom w:w="0" w:type="dxa"/>
              <w:right w:w="108" w:type="dxa"/>
            </w:tcMar>
            <w:vAlign w:val="center"/>
          </w:tcPr>
          <w:p w:rsidR="00C44B72" w:rsidRDefault="007843FE">
            <w:pPr>
              <w:adjustRightInd w:val="0"/>
              <w:snapToGrid w:val="0"/>
              <w:spacing w:line="360" w:lineRule="exact"/>
              <w:ind w:firstLine="420"/>
              <w:jc w:val="center"/>
              <w:rPr>
                <w:rFonts w:ascii="宋体" w:cs="宋体"/>
                <w:color w:val="000000"/>
                <w:kern w:val="0"/>
                <w:sz w:val="24"/>
                <w:szCs w:val="24"/>
              </w:rPr>
            </w:pPr>
            <w:r>
              <w:rPr>
                <w:rFonts w:ascii="宋体" w:cs="宋体"/>
                <w:color w:val="000000"/>
                <w:kern w:val="0"/>
                <w:sz w:val="24"/>
                <w:szCs w:val="24"/>
              </w:rPr>
              <w:t>申购金额</w:t>
            </w:r>
            <w:r>
              <w:rPr>
                <w:rFonts w:ascii="宋体" w:cs="宋体" w:hint="eastAsia"/>
                <w:color w:val="000000"/>
                <w:kern w:val="0"/>
                <w:sz w:val="24"/>
                <w:szCs w:val="24"/>
              </w:rPr>
              <w:t>M</w:t>
            </w:r>
            <w:r>
              <w:rPr>
                <w:rFonts w:ascii="宋体" w:cs="宋体"/>
                <w:color w:val="000000"/>
                <w:kern w:val="0"/>
                <w:sz w:val="24"/>
                <w:szCs w:val="24"/>
              </w:rPr>
              <w:t>（</w:t>
            </w:r>
            <w:r>
              <w:rPr>
                <w:rFonts w:ascii="宋体" w:cs="宋体" w:hint="eastAsia"/>
                <w:color w:val="000000"/>
                <w:kern w:val="0"/>
                <w:sz w:val="24"/>
                <w:szCs w:val="24"/>
              </w:rPr>
              <w:t>含申购费用</w:t>
            </w:r>
            <w:r>
              <w:rPr>
                <w:rFonts w:ascii="宋体" w:cs="宋体"/>
                <w:color w:val="000000"/>
                <w:kern w:val="0"/>
                <w:sz w:val="24"/>
                <w:szCs w:val="24"/>
              </w:rPr>
              <w:t>）</w:t>
            </w:r>
          </w:p>
        </w:tc>
        <w:tc>
          <w:tcPr>
            <w:tcW w:w="2102" w:type="dxa"/>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申购费率（</w:t>
            </w:r>
            <w:r>
              <w:rPr>
                <w:rFonts w:ascii="宋体" w:cs="宋体"/>
                <w:color w:val="000000"/>
                <w:kern w:val="0"/>
                <w:sz w:val="24"/>
                <w:szCs w:val="24"/>
              </w:rPr>
              <w:t>%</w:t>
            </w:r>
            <w:r>
              <w:rPr>
                <w:rFonts w:ascii="宋体" w:cs="宋体"/>
                <w:color w:val="000000"/>
                <w:kern w:val="0"/>
                <w:sz w:val="24"/>
                <w:szCs w:val="24"/>
              </w:rPr>
              <w:t>）</w:t>
            </w:r>
          </w:p>
        </w:tc>
      </w:tr>
      <w:tr w:rsidR="00C44B72">
        <w:trPr>
          <w:trHeight w:val="192"/>
          <w:jc w:val="center"/>
        </w:trPr>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w:t>
            </w:r>
            <w:r>
              <w:rPr>
                <w:rFonts w:ascii="宋体" w:cs="宋体"/>
                <w:color w:val="000000"/>
                <w:kern w:val="0"/>
                <w:sz w:val="24"/>
                <w:szCs w:val="24"/>
              </w:rPr>
              <w:t>万</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0.80%</w:t>
            </w:r>
          </w:p>
        </w:tc>
      </w:tr>
      <w:tr w:rsidR="00C44B72">
        <w:trPr>
          <w:trHeight w:val="192"/>
          <w:jc w:val="center"/>
        </w:trPr>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w:t>
            </w:r>
            <w:r>
              <w:rPr>
                <w:rFonts w:ascii="宋体" w:cs="宋体"/>
                <w:color w:val="000000"/>
                <w:kern w:val="0"/>
                <w:sz w:val="24"/>
                <w:szCs w:val="24"/>
              </w:rPr>
              <w:t>万</w:t>
            </w:r>
            <w:r>
              <w:rPr>
                <w:rFonts w:ascii="宋体" w:cs="宋体" w:hint="eastAsia"/>
              </w:rPr>
              <w:t>≤</w:t>
            </w: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500</w:t>
            </w:r>
            <w:r>
              <w:rPr>
                <w:rFonts w:ascii="宋体" w:cs="宋体"/>
                <w:color w:val="000000"/>
                <w:kern w:val="0"/>
                <w:sz w:val="24"/>
                <w:szCs w:val="24"/>
              </w:rPr>
              <w:t>万</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0.50%</w:t>
            </w:r>
          </w:p>
        </w:tc>
      </w:tr>
      <w:tr w:rsidR="00C44B72">
        <w:trPr>
          <w:trHeight w:val="192"/>
          <w:jc w:val="center"/>
        </w:trPr>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500</w:t>
            </w:r>
            <w:r>
              <w:rPr>
                <w:rFonts w:ascii="宋体" w:cs="宋体"/>
                <w:color w:val="000000"/>
                <w:kern w:val="0"/>
                <w:sz w:val="24"/>
                <w:szCs w:val="24"/>
              </w:rPr>
              <w:t>万</w:t>
            </w:r>
            <w:r>
              <w:rPr>
                <w:rFonts w:ascii="宋体" w:cs="宋体" w:hint="eastAsia"/>
              </w:rPr>
              <w:t>≤</w:t>
            </w:r>
            <w:r>
              <w:rPr>
                <w:rFonts w:ascii="宋体" w:cs="宋体"/>
                <w:color w:val="000000"/>
                <w:kern w:val="0"/>
                <w:sz w:val="24"/>
                <w:szCs w:val="24"/>
              </w:rPr>
              <w:t>M</w:t>
            </w:r>
            <w:r>
              <w:rPr>
                <w:rFonts w:ascii="宋体" w:cs="宋体" w:hint="eastAsia"/>
                <w:color w:val="000000"/>
                <w:kern w:val="0"/>
                <w:sz w:val="24"/>
                <w:szCs w:val="24"/>
              </w:rPr>
              <w:t>＜</w:t>
            </w:r>
            <w:r>
              <w:rPr>
                <w:rFonts w:ascii="宋体" w:cs="宋体"/>
                <w:color w:val="000000"/>
                <w:kern w:val="0"/>
                <w:sz w:val="24"/>
                <w:szCs w:val="24"/>
              </w:rPr>
              <w:t>1000</w:t>
            </w:r>
            <w:r>
              <w:rPr>
                <w:rFonts w:ascii="宋体" w:cs="宋体"/>
                <w:color w:val="000000"/>
                <w:kern w:val="0"/>
                <w:sz w:val="24"/>
                <w:szCs w:val="24"/>
              </w:rPr>
              <w:t>万</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0.30%</w:t>
            </w:r>
          </w:p>
        </w:tc>
      </w:tr>
      <w:tr w:rsidR="00C44B72">
        <w:trPr>
          <w:trHeight w:val="192"/>
          <w:jc w:val="center"/>
        </w:trPr>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hint="eastAsia"/>
                <w:color w:val="000000"/>
                <w:kern w:val="0"/>
                <w:sz w:val="24"/>
                <w:szCs w:val="24"/>
              </w:rPr>
              <w:t>M</w:t>
            </w:r>
            <w:r>
              <w:rPr>
                <w:rFonts w:ascii="宋体" w:hAnsi="宋体" w:cs="宋体" w:hint="eastAsia"/>
                <w:color w:val="000000"/>
                <w:kern w:val="0"/>
                <w:sz w:val="24"/>
                <w:szCs w:val="24"/>
              </w:rPr>
              <w:t>≥</w:t>
            </w:r>
            <w:r>
              <w:rPr>
                <w:rFonts w:ascii="宋体" w:cs="宋体" w:hint="eastAsia"/>
                <w:color w:val="000000"/>
                <w:kern w:val="0"/>
                <w:sz w:val="24"/>
                <w:szCs w:val="24"/>
              </w:rPr>
              <w:t xml:space="preserve">1000 </w:t>
            </w:r>
            <w:r>
              <w:rPr>
                <w:rFonts w:ascii="宋体" w:cs="宋体" w:hint="eastAsia"/>
                <w:color w:val="000000"/>
                <w:kern w:val="0"/>
                <w:sz w:val="24"/>
                <w:szCs w:val="24"/>
              </w:rPr>
              <w:t>万元</w:t>
            </w:r>
          </w:p>
        </w:tc>
        <w:tc>
          <w:tcPr>
            <w:tcW w:w="21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44B72" w:rsidRDefault="007843FE">
            <w:pPr>
              <w:adjustRightInd w:val="0"/>
              <w:snapToGrid w:val="0"/>
              <w:spacing w:line="360" w:lineRule="exact"/>
              <w:jc w:val="center"/>
              <w:rPr>
                <w:rFonts w:ascii="宋体" w:cs="宋体"/>
                <w:color w:val="000000"/>
                <w:kern w:val="0"/>
                <w:sz w:val="24"/>
                <w:szCs w:val="24"/>
              </w:rPr>
            </w:pPr>
            <w:r>
              <w:rPr>
                <w:rFonts w:ascii="宋体" w:cs="宋体"/>
                <w:color w:val="000000"/>
                <w:kern w:val="0"/>
                <w:sz w:val="24"/>
                <w:szCs w:val="24"/>
              </w:rPr>
              <w:t>1000</w:t>
            </w:r>
            <w:r>
              <w:rPr>
                <w:rFonts w:ascii="宋体" w:cs="宋体"/>
                <w:color w:val="000000"/>
                <w:kern w:val="0"/>
                <w:sz w:val="24"/>
                <w:szCs w:val="24"/>
              </w:rPr>
              <w:t>元</w:t>
            </w:r>
            <w:r>
              <w:rPr>
                <w:rFonts w:ascii="宋体" w:cs="宋体"/>
                <w:color w:val="000000"/>
                <w:kern w:val="0"/>
                <w:sz w:val="24"/>
                <w:szCs w:val="24"/>
              </w:rPr>
              <w:t>/</w:t>
            </w:r>
            <w:r>
              <w:rPr>
                <w:rFonts w:ascii="宋体" w:cs="宋体"/>
                <w:color w:val="000000"/>
                <w:kern w:val="0"/>
                <w:sz w:val="24"/>
                <w:szCs w:val="24"/>
              </w:rPr>
              <w:t>笔</w:t>
            </w:r>
          </w:p>
        </w:tc>
      </w:tr>
    </w:tbl>
    <w:p w:rsidR="00C44B72" w:rsidRDefault="007843FE">
      <w:pPr>
        <w:autoSpaceDE w:val="0"/>
        <w:autoSpaceDN w:val="0"/>
        <w:adjustRightInd w:val="0"/>
        <w:spacing w:before="30" w:line="360" w:lineRule="auto"/>
        <w:ind w:firstLineChars="200" w:firstLine="480"/>
        <w:rPr>
          <w:rFonts w:ascii="宋体" w:hAnsi="Arial" w:cs="宋体"/>
          <w:b/>
          <w:bCs/>
          <w:color w:val="000000"/>
          <w:kern w:val="0"/>
          <w:sz w:val="24"/>
          <w:szCs w:val="24"/>
        </w:rPr>
      </w:pPr>
      <w:r>
        <w:rPr>
          <w:rFonts w:ascii="宋体" w:hAnsi="Arial" w:cs="宋体" w:hint="eastAsia"/>
          <w:bCs/>
          <w:color w:val="000000"/>
          <w:kern w:val="0"/>
          <w:sz w:val="24"/>
          <w:szCs w:val="24"/>
        </w:rPr>
        <w:t>注</w:t>
      </w:r>
      <w:r>
        <w:rPr>
          <w:rFonts w:ascii="宋体" w:hAnsi="Arial" w:cs="宋体"/>
          <w:bCs/>
          <w:color w:val="000000"/>
          <w:kern w:val="0"/>
          <w:sz w:val="24"/>
          <w:szCs w:val="24"/>
        </w:rPr>
        <w:t>：</w:t>
      </w:r>
      <w:r>
        <w:rPr>
          <w:rFonts w:ascii="宋体" w:hAnsi="Arial" w:cs="宋体" w:hint="eastAsia"/>
          <w:bCs/>
          <w:color w:val="000000"/>
          <w:kern w:val="0"/>
          <w:sz w:val="24"/>
          <w:szCs w:val="24"/>
        </w:rPr>
        <w:t>本基金基金份额的申购费用由投资者承担，不列入基金资产，申购费用用于本基金的市场推广、登记和销售。</w:t>
      </w: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3.3 </w:t>
      </w:r>
      <w:r>
        <w:rPr>
          <w:rFonts w:ascii="宋体" w:hAnsi="Arial" w:cs="宋体" w:hint="eastAsia"/>
          <w:b/>
          <w:bCs/>
          <w:color w:val="000000"/>
          <w:kern w:val="0"/>
          <w:sz w:val="24"/>
          <w:szCs w:val="24"/>
        </w:rPr>
        <w:t>其他与申购相关的事项</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基金管理人可根据市场情况，在法律法规允许的情况下，调整上述对申购金额的数量限制，基金管理人必须在调整生效前依照《公开募集证券投资基金信息披露管理办法》的有关规定在规定报刊及规定网站公告。</w:t>
      </w:r>
    </w:p>
    <w:p w:rsidR="00C44B72" w:rsidRDefault="00C44B72">
      <w:pPr>
        <w:spacing w:line="360" w:lineRule="auto"/>
        <w:ind w:firstLineChars="200" w:firstLine="480"/>
        <w:rPr>
          <w:rFonts w:ascii="宋体" w:cs="宋体"/>
          <w:color w:val="000000"/>
          <w:kern w:val="0"/>
          <w:sz w:val="24"/>
          <w:szCs w:val="24"/>
        </w:rPr>
      </w:pP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4 </w:t>
      </w:r>
      <w:r>
        <w:rPr>
          <w:rFonts w:ascii="宋体" w:hAnsi="Arial" w:cs="宋体" w:hint="eastAsia"/>
          <w:b/>
          <w:bCs/>
          <w:color w:val="000000"/>
          <w:kern w:val="0"/>
          <w:sz w:val="24"/>
          <w:szCs w:val="24"/>
        </w:rPr>
        <w:t>日常赎回业务</w:t>
      </w:r>
    </w:p>
    <w:p w:rsidR="00C44B72" w:rsidRDefault="007843FE">
      <w:pPr>
        <w:autoSpaceDE w:val="0"/>
        <w:autoSpaceDN w:val="0"/>
        <w:adjustRightInd w:val="0"/>
        <w:spacing w:before="30"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4.1 </w:t>
      </w:r>
      <w:r>
        <w:rPr>
          <w:rFonts w:ascii="宋体" w:hAnsi="Arial" w:cs="宋体" w:hint="eastAsia"/>
          <w:b/>
          <w:bCs/>
          <w:color w:val="000000"/>
          <w:kern w:val="0"/>
          <w:sz w:val="24"/>
          <w:szCs w:val="24"/>
        </w:rPr>
        <w:t>赎回份额限制</w:t>
      </w:r>
    </w:p>
    <w:p w:rsidR="00C44B72" w:rsidRDefault="007843FE">
      <w:pPr>
        <w:autoSpaceDE w:val="0"/>
        <w:autoSpaceDN w:val="0"/>
        <w:adjustRightInd w:val="0"/>
        <w:spacing w:before="30" w:line="360" w:lineRule="auto"/>
        <w:ind w:left="15" w:firstLineChars="200" w:firstLine="480"/>
        <w:rPr>
          <w:rFonts w:cs="宋体"/>
          <w:color w:val="000000"/>
          <w:kern w:val="0"/>
          <w:sz w:val="24"/>
          <w:szCs w:val="24"/>
        </w:rPr>
      </w:pPr>
      <w:r>
        <w:rPr>
          <w:rFonts w:cs="宋体" w:hint="eastAsia"/>
          <w:color w:val="000000"/>
          <w:kern w:val="0"/>
          <w:sz w:val="24"/>
          <w:szCs w:val="24"/>
        </w:rPr>
        <w:t>基金份额持有人在销售机构赎回基金份额时，每笔赎回申请不得低于</w:t>
      </w:r>
      <w:r>
        <w:rPr>
          <w:rFonts w:cs="宋体" w:hint="eastAsia"/>
          <w:color w:val="000000"/>
          <w:kern w:val="0"/>
          <w:sz w:val="24"/>
          <w:szCs w:val="24"/>
        </w:rPr>
        <w:t>1</w:t>
      </w:r>
      <w:r>
        <w:rPr>
          <w:rFonts w:cs="宋体" w:hint="eastAsia"/>
          <w:color w:val="000000"/>
          <w:kern w:val="0"/>
          <w:sz w:val="24"/>
          <w:szCs w:val="24"/>
        </w:rPr>
        <w:t>份基金份额。若基金份额持有人某笔交易类业务（如赎回、基金转换、转托管等）导致在销售机构（网点）单个交易账户保留的基金份额余额少于</w:t>
      </w:r>
      <w:r>
        <w:rPr>
          <w:rFonts w:cs="宋体" w:hint="eastAsia"/>
          <w:color w:val="000000"/>
          <w:kern w:val="0"/>
          <w:sz w:val="24"/>
          <w:szCs w:val="24"/>
        </w:rPr>
        <w:t>1</w:t>
      </w:r>
      <w:r>
        <w:rPr>
          <w:rFonts w:cs="宋体" w:hint="eastAsia"/>
          <w:color w:val="000000"/>
          <w:kern w:val="0"/>
          <w:sz w:val="24"/>
          <w:szCs w:val="24"/>
        </w:rPr>
        <w:t>份时，余额部分基金份额必须全部一同赎回。</w:t>
      </w:r>
    </w:p>
    <w:p w:rsidR="00C44B72" w:rsidRDefault="007843FE">
      <w:pPr>
        <w:autoSpaceDE w:val="0"/>
        <w:autoSpaceDN w:val="0"/>
        <w:adjustRightInd w:val="0"/>
        <w:spacing w:before="29" w:line="360" w:lineRule="auto"/>
        <w:rPr>
          <w:rFonts w:ascii="宋体" w:hAnsi="Arial" w:cs="宋体"/>
          <w:b/>
          <w:bCs/>
          <w:color w:val="000000"/>
          <w:kern w:val="0"/>
          <w:sz w:val="24"/>
          <w:szCs w:val="24"/>
        </w:rPr>
      </w:pPr>
      <w:r>
        <w:rPr>
          <w:rFonts w:ascii="宋体" w:hAnsi="Arial" w:cs="宋体"/>
          <w:b/>
          <w:bCs/>
          <w:color w:val="000000"/>
          <w:kern w:val="0"/>
          <w:sz w:val="24"/>
          <w:szCs w:val="24"/>
        </w:rPr>
        <w:t xml:space="preserve">4.2 </w:t>
      </w:r>
      <w:r>
        <w:rPr>
          <w:rFonts w:ascii="宋体" w:hAnsi="Arial" w:cs="宋体" w:hint="eastAsia"/>
          <w:b/>
          <w:bCs/>
          <w:color w:val="000000"/>
          <w:kern w:val="0"/>
          <w:sz w:val="24"/>
          <w:szCs w:val="24"/>
        </w:rPr>
        <w:t>赎回费率</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2"/>
        <w:gridCol w:w="1843"/>
      </w:tblGrid>
      <w:tr w:rsidR="00C44B72">
        <w:trPr>
          <w:trHeight w:val="395"/>
        </w:trPr>
        <w:tc>
          <w:tcPr>
            <w:tcW w:w="4252" w:type="dxa"/>
            <w:vAlign w:val="center"/>
          </w:tcPr>
          <w:p w:rsidR="00C44B72" w:rsidRDefault="007843FE">
            <w:pPr>
              <w:pStyle w:val="Default"/>
              <w:jc w:val="center"/>
              <w:rPr>
                <w:rFonts w:ascii="Calibri" w:hAnsi="Calibri"/>
              </w:rPr>
            </w:pPr>
            <w:r>
              <w:t>份额存续时间（</w:t>
            </w:r>
            <w:r>
              <w:t>L</w:t>
            </w:r>
            <w:r>
              <w:t>）</w:t>
            </w:r>
          </w:p>
        </w:tc>
        <w:tc>
          <w:tcPr>
            <w:tcW w:w="1843" w:type="dxa"/>
            <w:vAlign w:val="center"/>
          </w:tcPr>
          <w:p w:rsidR="00C44B72" w:rsidRDefault="007843FE">
            <w:pPr>
              <w:pStyle w:val="Default"/>
              <w:jc w:val="center"/>
            </w:pPr>
            <w:r>
              <w:t>适用赎回费率</w:t>
            </w:r>
          </w:p>
        </w:tc>
      </w:tr>
      <w:tr w:rsidR="00C44B72">
        <w:trPr>
          <w:trHeight w:val="395"/>
        </w:trPr>
        <w:tc>
          <w:tcPr>
            <w:tcW w:w="4252" w:type="dxa"/>
            <w:vAlign w:val="center"/>
          </w:tcPr>
          <w:p w:rsidR="00C44B72" w:rsidRDefault="007843FE">
            <w:pPr>
              <w:pStyle w:val="Default"/>
              <w:jc w:val="center"/>
            </w:pPr>
            <w:r>
              <w:t>L</w:t>
            </w:r>
            <w:r>
              <w:rPr>
                <w:rFonts w:hint="eastAsia"/>
              </w:rPr>
              <w:t>＜</w:t>
            </w:r>
            <w:r>
              <w:rPr>
                <w:rFonts w:hint="eastAsia"/>
              </w:rPr>
              <w:t>7</w:t>
            </w:r>
            <w:r>
              <w:rPr>
                <w:rFonts w:hint="eastAsia"/>
              </w:rPr>
              <w:t>个自然日</w:t>
            </w:r>
          </w:p>
        </w:tc>
        <w:tc>
          <w:tcPr>
            <w:tcW w:w="1843" w:type="dxa"/>
            <w:vAlign w:val="center"/>
          </w:tcPr>
          <w:p w:rsidR="00C44B72" w:rsidRDefault="007843FE">
            <w:pPr>
              <w:pStyle w:val="Default"/>
              <w:jc w:val="center"/>
            </w:pPr>
            <w:r>
              <w:t>1.50%</w:t>
            </w:r>
          </w:p>
        </w:tc>
      </w:tr>
      <w:tr w:rsidR="00C44B72">
        <w:trPr>
          <w:trHeight w:val="395"/>
        </w:trPr>
        <w:tc>
          <w:tcPr>
            <w:tcW w:w="4252" w:type="dxa"/>
            <w:vAlign w:val="center"/>
          </w:tcPr>
          <w:p w:rsidR="00C44B72" w:rsidRDefault="007843FE">
            <w:pPr>
              <w:pStyle w:val="Default"/>
              <w:jc w:val="center"/>
            </w:pPr>
            <w:r>
              <w:rPr>
                <w:rFonts w:hint="eastAsia"/>
              </w:rPr>
              <w:t>7</w:t>
            </w:r>
            <w:r>
              <w:rPr>
                <w:rFonts w:hint="eastAsia"/>
              </w:rPr>
              <w:t>个自然日≤</w:t>
            </w:r>
            <w:r>
              <w:rPr>
                <w:rFonts w:hint="eastAsia"/>
              </w:rPr>
              <w:t>L</w:t>
            </w:r>
            <w:r>
              <w:rPr>
                <w:rFonts w:hint="eastAsia"/>
              </w:rPr>
              <w:t>＜</w:t>
            </w:r>
            <w:r>
              <w:rPr>
                <w:rFonts w:hint="eastAsia"/>
              </w:rPr>
              <w:t>30</w:t>
            </w:r>
            <w:r>
              <w:rPr>
                <w:rFonts w:hint="eastAsia"/>
              </w:rPr>
              <w:t>个自然日</w:t>
            </w:r>
          </w:p>
        </w:tc>
        <w:tc>
          <w:tcPr>
            <w:tcW w:w="1843" w:type="dxa"/>
            <w:vAlign w:val="center"/>
          </w:tcPr>
          <w:p w:rsidR="00C44B72" w:rsidRDefault="007843FE">
            <w:pPr>
              <w:pStyle w:val="Default"/>
              <w:jc w:val="center"/>
            </w:pPr>
            <w:r>
              <w:rPr>
                <w:rFonts w:hint="eastAsia"/>
              </w:rPr>
              <w:t>0.</w:t>
            </w:r>
            <w:r>
              <w:t>50%</w:t>
            </w:r>
          </w:p>
        </w:tc>
      </w:tr>
      <w:tr w:rsidR="00C44B72">
        <w:trPr>
          <w:trHeight w:val="415"/>
        </w:trPr>
        <w:tc>
          <w:tcPr>
            <w:tcW w:w="4252" w:type="dxa"/>
            <w:vAlign w:val="center"/>
          </w:tcPr>
          <w:p w:rsidR="00C44B72" w:rsidRDefault="007843FE">
            <w:pPr>
              <w:pStyle w:val="Default"/>
              <w:jc w:val="center"/>
              <w:rPr>
                <w:rFonts w:ascii="Calibri" w:hAnsi="Calibri"/>
              </w:rPr>
            </w:pPr>
            <w:r>
              <w:rPr>
                <w:rFonts w:hint="eastAsia"/>
              </w:rPr>
              <w:t>L</w:t>
            </w:r>
            <w:r>
              <w:rPr>
                <w:rFonts w:hint="eastAsia"/>
              </w:rPr>
              <w:t>≥</w:t>
            </w:r>
            <w:r>
              <w:rPr>
                <w:rFonts w:hint="eastAsia"/>
              </w:rPr>
              <w:t>30</w:t>
            </w:r>
            <w:r>
              <w:rPr>
                <w:rFonts w:hint="eastAsia"/>
              </w:rPr>
              <w:t>个自然日</w:t>
            </w:r>
          </w:p>
        </w:tc>
        <w:tc>
          <w:tcPr>
            <w:tcW w:w="1843" w:type="dxa"/>
            <w:vAlign w:val="center"/>
          </w:tcPr>
          <w:p w:rsidR="00C44B72" w:rsidRDefault="007843FE">
            <w:pPr>
              <w:pStyle w:val="Default"/>
              <w:jc w:val="center"/>
            </w:pPr>
            <w:r>
              <w:rPr>
                <w:rFonts w:hint="eastAsia"/>
              </w:rPr>
              <w:t>0</w:t>
            </w:r>
          </w:p>
        </w:tc>
      </w:tr>
    </w:tbl>
    <w:p w:rsidR="00C44B72" w:rsidRDefault="007843FE">
      <w:pPr>
        <w:autoSpaceDE w:val="0"/>
        <w:autoSpaceDN w:val="0"/>
        <w:adjustRightInd w:val="0"/>
        <w:spacing w:before="29" w:line="360" w:lineRule="auto"/>
        <w:jc w:val="left"/>
        <w:rPr>
          <w:rFonts w:ascii="宋体" w:hAnsi="Arial" w:cs="宋体"/>
          <w:bCs/>
          <w:color w:val="000000"/>
          <w:kern w:val="0"/>
          <w:sz w:val="24"/>
          <w:szCs w:val="24"/>
        </w:rPr>
      </w:pPr>
      <w:r>
        <w:rPr>
          <w:rFonts w:ascii="宋体" w:hAnsi="Arial" w:cs="宋体" w:hint="eastAsia"/>
          <w:bCs/>
          <w:color w:val="000000"/>
          <w:kern w:val="0"/>
          <w:sz w:val="24"/>
          <w:szCs w:val="24"/>
        </w:rPr>
        <w:t>注</w:t>
      </w:r>
      <w:r>
        <w:rPr>
          <w:rFonts w:ascii="宋体" w:hAnsi="Arial" w:cs="宋体"/>
          <w:bCs/>
          <w:color w:val="000000"/>
          <w:kern w:val="0"/>
          <w:sz w:val="24"/>
          <w:szCs w:val="24"/>
        </w:rPr>
        <w:t>：</w:t>
      </w:r>
      <w:r>
        <w:rPr>
          <w:rFonts w:ascii="宋体" w:hAnsi="Arial" w:cs="宋体" w:hint="eastAsia"/>
          <w:bCs/>
          <w:color w:val="000000"/>
          <w:kern w:val="0"/>
          <w:sz w:val="24"/>
          <w:szCs w:val="24"/>
        </w:rPr>
        <w:t>1</w:t>
      </w:r>
      <w:r>
        <w:rPr>
          <w:rFonts w:ascii="宋体" w:hAnsi="Arial" w:cs="宋体" w:hint="eastAsia"/>
          <w:bCs/>
          <w:color w:val="000000"/>
          <w:kern w:val="0"/>
          <w:sz w:val="24"/>
          <w:szCs w:val="24"/>
        </w:rPr>
        <w:t>、赎回费用由赎回基金份额的基金份额持有人承担，在基金份额持有人赎回基金份额时收取。对持续持有期少于</w:t>
      </w:r>
      <w:r>
        <w:rPr>
          <w:rFonts w:ascii="宋体" w:hAnsi="Arial" w:cs="宋体" w:hint="eastAsia"/>
          <w:bCs/>
          <w:color w:val="000000"/>
          <w:kern w:val="0"/>
          <w:sz w:val="24"/>
          <w:szCs w:val="24"/>
        </w:rPr>
        <w:t>7</w:t>
      </w:r>
      <w:r>
        <w:rPr>
          <w:rFonts w:ascii="宋体" w:hAnsi="Arial" w:cs="宋体" w:hint="eastAsia"/>
          <w:bCs/>
          <w:color w:val="000000"/>
          <w:kern w:val="0"/>
          <w:sz w:val="24"/>
          <w:szCs w:val="24"/>
        </w:rPr>
        <w:t>天的投资人收取的赎回费，</w:t>
      </w:r>
      <w:r>
        <w:rPr>
          <w:rFonts w:ascii="宋体" w:hAnsi="Arial" w:cs="宋体" w:hint="eastAsia"/>
          <w:bCs/>
          <w:color w:val="000000"/>
          <w:kern w:val="0"/>
          <w:sz w:val="24"/>
          <w:szCs w:val="24"/>
        </w:rPr>
        <w:t>100%</w:t>
      </w:r>
      <w:r>
        <w:rPr>
          <w:rFonts w:ascii="宋体" w:hAnsi="Arial" w:cs="宋体" w:hint="eastAsia"/>
          <w:bCs/>
          <w:color w:val="000000"/>
          <w:kern w:val="0"/>
          <w:sz w:val="24"/>
          <w:szCs w:val="24"/>
        </w:rPr>
        <w:t>归入基金资产；对持续持有期超过</w:t>
      </w:r>
      <w:r>
        <w:rPr>
          <w:rFonts w:ascii="宋体" w:hAnsi="Arial" w:cs="宋体" w:hint="eastAsia"/>
          <w:bCs/>
          <w:color w:val="000000"/>
          <w:kern w:val="0"/>
          <w:sz w:val="24"/>
          <w:szCs w:val="24"/>
        </w:rPr>
        <w:t>7</w:t>
      </w:r>
      <w:r>
        <w:rPr>
          <w:rFonts w:ascii="宋体" w:hAnsi="Arial" w:cs="宋体" w:hint="eastAsia"/>
          <w:bCs/>
          <w:color w:val="000000"/>
          <w:kern w:val="0"/>
          <w:sz w:val="24"/>
          <w:szCs w:val="24"/>
        </w:rPr>
        <w:t>天（含</w:t>
      </w:r>
      <w:r>
        <w:rPr>
          <w:rFonts w:ascii="宋体" w:hAnsi="Arial" w:cs="宋体" w:hint="eastAsia"/>
          <w:bCs/>
          <w:color w:val="000000"/>
          <w:kern w:val="0"/>
          <w:sz w:val="24"/>
          <w:szCs w:val="24"/>
        </w:rPr>
        <w:t>7</w:t>
      </w:r>
      <w:r>
        <w:rPr>
          <w:rFonts w:ascii="宋体" w:hAnsi="Arial" w:cs="宋体" w:hint="eastAsia"/>
          <w:bCs/>
          <w:color w:val="000000"/>
          <w:kern w:val="0"/>
          <w:sz w:val="24"/>
          <w:szCs w:val="24"/>
        </w:rPr>
        <w:t>天）但少于</w:t>
      </w:r>
      <w:r>
        <w:rPr>
          <w:rFonts w:ascii="宋体" w:hAnsi="Arial" w:cs="宋体" w:hint="eastAsia"/>
          <w:bCs/>
          <w:color w:val="000000"/>
          <w:kern w:val="0"/>
          <w:sz w:val="24"/>
          <w:szCs w:val="24"/>
        </w:rPr>
        <w:t>30</w:t>
      </w:r>
      <w:r>
        <w:rPr>
          <w:rFonts w:ascii="宋体" w:hAnsi="Arial" w:cs="宋体" w:hint="eastAsia"/>
          <w:bCs/>
          <w:color w:val="000000"/>
          <w:kern w:val="0"/>
          <w:sz w:val="24"/>
          <w:szCs w:val="24"/>
        </w:rPr>
        <w:t>天的投资人收取的赎回费，</w:t>
      </w:r>
      <w:r>
        <w:rPr>
          <w:rFonts w:ascii="宋体" w:hAnsi="Arial" w:cs="宋体" w:hint="eastAsia"/>
          <w:bCs/>
          <w:color w:val="000000"/>
          <w:kern w:val="0"/>
          <w:sz w:val="24"/>
          <w:szCs w:val="24"/>
        </w:rPr>
        <w:t>25%</w:t>
      </w:r>
      <w:r>
        <w:rPr>
          <w:rFonts w:ascii="宋体" w:hAnsi="Arial" w:cs="宋体" w:hint="eastAsia"/>
          <w:bCs/>
          <w:color w:val="000000"/>
          <w:kern w:val="0"/>
          <w:sz w:val="24"/>
          <w:szCs w:val="24"/>
        </w:rPr>
        <w:t>归入基金资产。其余部分用于支付登记费和其他必要的手续费。</w:t>
      </w:r>
    </w:p>
    <w:p w:rsidR="00C44B72" w:rsidRDefault="007843FE">
      <w:pPr>
        <w:autoSpaceDE w:val="0"/>
        <w:autoSpaceDN w:val="0"/>
        <w:adjustRightInd w:val="0"/>
        <w:spacing w:before="29" w:line="360" w:lineRule="auto"/>
        <w:ind w:firstLineChars="200" w:firstLine="480"/>
        <w:jc w:val="left"/>
        <w:rPr>
          <w:rFonts w:ascii="宋体" w:hAnsi="Arial" w:cs="宋体"/>
          <w:bCs/>
          <w:color w:val="000000"/>
          <w:kern w:val="0"/>
          <w:sz w:val="24"/>
          <w:szCs w:val="24"/>
        </w:rPr>
      </w:pPr>
      <w:r>
        <w:rPr>
          <w:rFonts w:ascii="宋体" w:hAnsi="Arial" w:cs="宋体" w:hint="eastAsia"/>
          <w:bCs/>
          <w:color w:val="000000"/>
          <w:kern w:val="0"/>
          <w:sz w:val="24"/>
          <w:szCs w:val="24"/>
        </w:rPr>
        <w:t>2</w:t>
      </w:r>
      <w:r>
        <w:rPr>
          <w:rFonts w:ascii="宋体" w:hAnsi="Arial" w:cs="宋体" w:hint="eastAsia"/>
          <w:bCs/>
          <w:color w:val="000000"/>
          <w:kern w:val="0"/>
          <w:sz w:val="24"/>
          <w:szCs w:val="24"/>
        </w:rPr>
        <w:t>、在合法合规的前提下，对于通过基金管理人直销渠道赎回（含转换出）的养老金客户，</w:t>
      </w:r>
      <w:r>
        <w:rPr>
          <w:rFonts w:ascii="宋体" w:hAnsi="Arial" w:cs="宋体" w:hint="eastAsia"/>
          <w:bCs/>
          <w:color w:val="000000"/>
          <w:kern w:val="0"/>
          <w:sz w:val="24"/>
          <w:szCs w:val="24"/>
        </w:rPr>
        <w:t>可</w:t>
      </w:r>
      <w:r>
        <w:rPr>
          <w:rFonts w:ascii="宋体" w:hAnsi="Arial" w:cs="宋体" w:hint="eastAsia"/>
          <w:bCs/>
          <w:color w:val="000000"/>
          <w:kern w:val="0"/>
          <w:sz w:val="24"/>
          <w:szCs w:val="24"/>
        </w:rPr>
        <w:t>将不计入基金资产部分的赎回费免除。</w:t>
      </w: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4.3 </w:t>
      </w:r>
      <w:r>
        <w:rPr>
          <w:rFonts w:ascii="宋体" w:hAnsi="Arial" w:cs="宋体" w:hint="eastAsia"/>
          <w:b/>
          <w:bCs/>
          <w:color w:val="000000"/>
          <w:kern w:val="0"/>
          <w:sz w:val="24"/>
          <w:szCs w:val="24"/>
        </w:rPr>
        <w:t>其他与赎回相关的事项</w:t>
      </w:r>
    </w:p>
    <w:p w:rsidR="00C44B72" w:rsidRDefault="007843FE">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根据市场情况，在法律法规允许的情况下，调整上述对赎回的份额的数量限制。基金管理人必须在调整实施前依照《公开募集证券投资基金信息披露管理办法》的有关规定在规定报刊及规定网站公告。</w:t>
      </w:r>
    </w:p>
    <w:p w:rsidR="00C44B72" w:rsidRDefault="00C44B72">
      <w:pPr>
        <w:autoSpaceDE w:val="0"/>
        <w:autoSpaceDN w:val="0"/>
        <w:adjustRightInd w:val="0"/>
        <w:spacing w:line="360" w:lineRule="auto"/>
        <w:rPr>
          <w:rFonts w:ascii="宋体" w:hAnsi="Arial" w:cs="宋体"/>
          <w:color w:val="000000"/>
          <w:kern w:val="0"/>
          <w:sz w:val="23"/>
          <w:szCs w:val="23"/>
        </w:rPr>
      </w:pP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5</w:t>
      </w:r>
      <w:r>
        <w:rPr>
          <w:rFonts w:ascii="宋体" w:hAnsi="Arial" w:cs="宋体" w:hint="eastAsia"/>
          <w:b/>
          <w:bCs/>
          <w:color w:val="000000"/>
          <w:kern w:val="0"/>
          <w:sz w:val="24"/>
          <w:szCs w:val="24"/>
        </w:rPr>
        <w:t>日常转换业务</w:t>
      </w:r>
    </w:p>
    <w:p w:rsidR="00C44B72" w:rsidRDefault="007843FE">
      <w:pPr>
        <w:autoSpaceDE w:val="0"/>
        <w:autoSpaceDN w:val="0"/>
        <w:adjustRightInd w:val="0"/>
        <w:spacing w:before="29" w:line="288"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5.1 </w:t>
      </w:r>
      <w:r>
        <w:rPr>
          <w:rFonts w:ascii="宋体" w:hAnsi="Arial" w:cs="宋体" w:hint="eastAsia"/>
          <w:b/>
          <w:bCs/>
          <w:color w:val="000000"/>
          <w:kern w:val="0"/>
          <w:sz w:val="24"/>
          <w:szCs w:val="24"/>
        </w:rPr>
        <w:t>转换费率</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基金转换费用依照转出基金的赎回费用加上转出与转入基金申购费补差的标准收取，具体收取情况视每次转换时不同基金的申购费率和赎回费率的差异情况而定。基金转换费用由投资者承担。</w:t>
      </w:r>
    </w:p>
    <w:p w:rsidR="00C44B72" w:rsidRDefault="007843FE">
      <w:pPr>
        <w:autoSpaceDE w:val="0"/>
        <w:autoSpaceDN w:val="0"/>
        <w:adjustRightInd w:val="0"/>
        <w:spacing w:before="29" w:line="288" w:lineRule="auto"/>
        <w:ind w:left="15"/>
        <w:rPr>
          <w:rFonts w:ascii="宋体" w:hAnsi="Arial" w:cs="宋体"/>
          <w:color w:val="000000"/>
          <w:kern w:val="0"/>
          <w:sz w:val="24"/>
          <w:szCs w:val="24"/>
        </w:rPr>
      </w:pPr>
      <w:r>
        <w:rPr>
          <w:rFonts w:ascii="宋体" w:hAnsi="Arial" w:cs="宋体" w:hint="eastAsia"/>
          <w:b/>
          <w:bCs/>
          <w:color w:val="000000"/>
          <w:kern w:val="0"/>
          <w:sz w:val="24"/>
          <w:szCs w:val="24"/>
        </w:rPr>
        <w:t xml:space="preserve">5.1.1 </w:t>
      </w:r>
      <w:r>
        <w:rPr>
          <w:rFonts w:ascii="宋体" w:hAnsi="Arial" w:cs="宋体" w:hint="eastAsia"/>
          <w:b/>
          <w:bCs/>
          <w:color w:val="000000"/>
          <w:kern w:val="0"/>
          <w:sz w:val="24"/>
          <w:szCs w:val="24"/>
        </w:rPr>
        <w:t>赎回费用</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在进行基金转换时，转出基金视同赎回申请，如涉及的转出基金有赎回费率</w:t>
      </w:r>
      <w:r>
        <w:rPr>
          <w:rFonts w:ascii="宋体" w:cs="宋体"/>
          <w:color w:val="000000"/>
          <w:kern w:val="0"/>
          <w:sz w:val="24"/>
          <w:szCs w:val="24"/>
        </w:rPr>
        <w:t>,</w:t>
      </w:r>
      <w:r>
        <w:rPr>
          <w:rFonts w:ascii="宋体" w:cs="宋体" w:hint="eastAsia"/>
          <w:color w:val="000000"/>
          <w:kern w:val="0"/>
          <w:sz w:val="24"/>
          <w:szCs w:val="24"/>
        </w:rPr>
        <w:t>则收取该基金的赎回费用。收</w:t>
      </w:r>
      <w:r>
        <w:rPr>
          <w:rFonts w:ascii="宋体" w:cs="宋体" w:hint="eastAsia"/>
          <w:color w:val="000000"/>
          <w:kern w:val="0"/>
          <w:sz w:val="24"/>
          <w:szCs w:val="24"/>
        </w:rPr>
        <w:t>取的赎回费用不低于</w:t>
      </w:r>
      <w:r>
        <w:rPr>
          <w:rFonts w:ascii="宋体" w:cs="宋体" w:hint="eastAsia"/>
          <w:color w:val="000000"/>
          <w:kern w:val="0"/>
          <w:sz w:val="24"/>
          <w:szCs w:val="24"/>
        </w:rPr>
        <w:t>25%</w:t>
      </w:r>
      <w:r>
        <w:rPr>
          <w:rFonts w:ascii="宋体" w:cs="宋体" w:hint="eastAsia"/>
          <w:color w:val="000000"/>
          <w:kern w:val="0"/>
          <w:sz w:val="24"/>
          <w:szCs w:val="24"/>
        </w:rPr>
        <w:t>的部分归入转出基金的基金资产。</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同一笔转换业务中包含不同持有时间的基金份额，分别按照持有时间收取相应的赎回费用。基金管理人旗下基金的原赎回费率详见各基金的招募说明书。</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5.1.2 </w:t>
      </w:r>
      <w:r>
        <w:rPr>
          <w:rFonts w:ascii="宋体" w:hAnsi="Arial" w:cs="宋体" w:hint="eastAsia"/>
          <w:b/>
          <w:color w:val="000000"/>
          <w:kern w:val="0"/>
          <w:sz w:val="24"/>
          <w:szCs w:val="24"/>
        </w:rPr>
        <w:t>申购补差费</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转换申购补差费按转入基金与转出基金之间申购费的差额计算收取，若转入基金申购费高于转出基金申购费时，基金转换申购补差费为转入基金与转出基金的申购费之差；若转入基金申购费不高于（含等于或小于）转出基金申购费时，基金转换申购补差费为零。</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5.1.3 </w:t>
      </w:r>
      <w:r>
        <w:rPr>
          <w:rFonts w:ascii="宋体" w:hAnsi="Arial" w:cs="宋体" w:hint="eastAsia"/>
          <w:b/>
          <w:color w:val="000000"/>
          <w:kern w:val="0"/>
          <w:sz w:val="24"/>
          <w:szCs w:val="24"/>
        </w:rPr>
        <w:t>具体计算公式</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赎回费用＝转出基金份额×当日转出基金份额净值×赎回费率</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转出金额＝转出基金份额×当日转出基金份额净值－赎回费用</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申购补差费用＝</w:t>
      </w:r>
      <w:r>
        <w:rPr>
          <w:rFonts w:ascii="宋体" w:hAnsi="宋体" w:cs="宋体" w:hint="eastAsia"/>
          <w:color w:val="000000"/>
          <w:kern w:val="0"/>
          <w:sz w:val="24"/>
          <w:szCs w:val="24"/>
        </w:rPr>
        <w:t>max[</w:t>
      </w:r>
      <w:r>
        <w:rPr>
          <w:rFonts w:ascii="宋体" w:cs="宋体" w:hint="eastAsia"/>
          <w:b/>
          <w:bCs/>
          <w:color w:val="000000"/>
          <w:kern w:val="0"/>
          <w:sz w:val="24"/>
          <w:szCs w:val="24"/>
        </w:rPr>
        <w:t>转出金额</w:t>
      </w:r>
      <w:r>
        <w:rPr>
          <w:rFonts w:ascii="宋体" w:cs="宋体" w:hint="eastAsia"/>
          <w:color w:val="000000"/>
          <w:kern w:val="0"/>
          <w:sz w:val="24"/>
          <w:szCs w:val="24"/>
        </w:rPr>
        <w:t>×转入基金的申购费率</w:t>
      </w:r>
      <w:r>
        <w:rPr>
          <w:rFonts w:ascii="宋体" w:cs="宋体" w:hint="eastAsia"/>
          <w:color w:val="000000"/>
          <w:kern w:val="0"/>
          <w:sz w:val="24"/>
          <w:szCs w:val="24"/>
        </w:rPr>
        <w:t>/</w:t>
      </w:r>
      <w:r>
        <w:rPr>
          <w:rFonts w:ascii="宋体" w:cs="宋体" w:hint="eastAsia"/>
          <w:color w:val="000000"/>
          <w:kern w:val="0"/>
          <w:sz w:val="24"/>
          <w:szCs w:val="24"/>
        </w:rPr>
        <w:t>（</w:t>
      </w:r>
      <w:r>
        <w:rPr>
          <w:rFonts w:ascii="宋体" w:cs="宋体" w:hint="eastAsia"/>
          <w:color w:val="000000"/>
          <w:kern w:val="0"/>
          <w:sz w:val="24"/>
          <w:szCs w:val="24"/>
        </w:rPr>
        <w:t>1</w:t>
      </w:r>
      <w:r>
        <w:rPr>
          <w:rFonts w:ascii="宋体" w:cs="宋体" w:hint="eastAsia"/>
          <w:color w:val="000000"/>
          <w:kern w:val="0"/>
          <w:sz w:val="24"/>
          <w:szCs w:val="24"/>
        </w:rPr>
        <w:t>＋转入基金申购费率）－</w:t>
      </w:r>
      <w:r>
        <w:rPr>
          <w:rFonts w:ascii="宋体" w:cs="宋体" w:hint="eastAsia"/>
          <w:b/>
          <w:bCs/>
          <w:color w:val="000000"/>
          <w:kern w:val="0"/>
          <w:sz w:val="24"/>
          <w:szCs w:val="24"/>
        </w:rPr>
        <w:t>转出金额</w:t>
      </w:r>
      <w:r>
        <w:rPr>
          <w:rFonts w:ascii="宋体" w:cs="宋体" w:hint="eastAsia"/>
          <w:color w:val="000000"/>
          <w:kern w:val="0"/>
          <w:sz w:val="24"/>
          <w:szCs w:val="24"/>
        </w:rPr>
        <w:t>×转出基金申购费率</w:t>
      </w:r>
      <w:r>
        <w:rPr>
          <w:rFonts w:ascii="宋体" w:cs="宋体" w:hint="eastAsia"/>
          <w:color w:val="000000"/>
          <w:kern w:val="0"/>
          <w:sz w:val="24"/>
          <w:szCs w:val="24"/>
        </w:rPr>
        <w:t>/</w:t>
      </w:r>
      <w:r>
        <w:rPr>
          <w:rFonts w:ascii="宋体" w:cs="宋体" w:hint="eastAsia"/>
          <w:color w:val="000000"/>
          <w:kern w:val="0"/>
          <w:sz w:val="24"/>
          <w:szCs w:val="24"/>
        </w:rPr>
        <w:t>（</w:t>
      </w:r>
      <w:r>
        <w:rPr>
          <w:rFonts w:ascii="宋体" w:cs="宋体" w:hint="eastAsia"/>
          <w:color w:val="000000"/>
          <w:kern w:val="0"/>
          <w:sz w:val="24"/>
          <w:szCs w:val="24"/>
        </w:rPr>
        <w:t>1</w:t>
      </w:r>
      <w:r>
        <w:rPr>
          <w:rFonts w:ascii="宋体" w:cs="宋体" w:hint="eastAsia"/>
          <w:color w:val="000000"/>
          <w:kern w:val="0"/>
          <w:sz w:val="24"/>
          <w:szCs w:val="24"/>
        </w:rPr>
        <w:t>＋转出基金申购费率）</w:t>
      </w:r>
      <w:r>
        <w:rPr>
          <w:rFonts w:ascii="宋体" w:hAnsi="宋体" w:cs="宋体" w:hint="eastAsia"/>
          <w:color w:val="000000"/>
          <w:kern w:val="0"/>
          <w:sz w:val="24"/>
          <w:szCs w:val="24"/>
        </w:rPr>
        <w:t>，</w:t>
      </w:r>
      <w:r>
        <w:rPr>
          <w:rFonts w:ascii="宋体" w:hAnsi="宋体" w:cs="宋体" w:hint="eastAsia"/>
          <w:color w:val="000000"/>
          <w:kern w:val="0"/>
          <w:sz w:val="24"/>
          <w:szCs w:val="24"/>
        </w:rPr>
        <w:t>0]</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对于收取固定金额申购费的，从申购费用低的基金向申购费用高的基金转换，按固定金额申购费计算申购补差费</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转换费用＝赎回费用＋申购补差费用</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转入金额＝转出基金份额×当日转出基金份额净值－转换费用</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转入份额＝转入金额／当日转入基金份额净值</w:t>
      </w:r>
    </w:p>
    <w:p w:rsidR="00C44B72" w:rsidRDefault="007843FE">
      <w:pPr>
        <w:autoSpaceDE w:val="0"/>
        <w:autoSpaceDN w:val="0"/>
        <w:adjustRightInd w:val="0"/>
        <w:spacing w:before="29" w:line="288" w:lineRule="auto"/>
        <w:ind w:left="15" w:firstLineChars="200" w:firstLine="480"/>
        <w:rPr>
          <w:rFonts w:ascii="宋体" w:cs="宋体"/>
          <w:color w:val="000000"/>
          <w:kern w:val="0"/>
          <w:sz w:val="24"/>
          <w:szCs w:val="24"/>
        </w:rPr>
      </w:pPr>
      <w:r>
        <w:rPr>
          <w:rFonts w:ascii="宋体" w:cs="宋体" w:hint="eastAsia"/>
          <w:color w:val="000000"/>
          <w:kern w:val="0"/>
          <w:sz w:val="24"/>
          <w:szCs w:val="24"/>
        </w:rPr>
        <w:t>转换费用由基金份额持有人承担，对于转出基金赎回业务收取赎回费的，基金转出时，归入基金资产部分按赎回费的处理方法计算。</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以在不违背法律法规规定及基金合同约定的情形下，根据市场情况制定基金促销计划，针对以特定交易方式（如网上交易等）或在特定时间段等进行基金交易的投资者定期或不定期地开展基金促销活动。在基金促销活动期间，基金管理人可以对促销活动范围内的投资者调低基金转换费率。</w:t>
      </w:r>
    </w:p>
    <w:p w:rsidR="00C44B72" w:rsidRDefault="007843FE">
      <w:pPr>
        <w:autoSpaceDE w:val="0"/>
        <w:autoSpaceDN w:val="0"/>
        <w:adjustRightInd w:val="0"/>
        <w:spacing w:before="29" w:line="288" w:lineRule="auto"/>
        <w:ind w:left="15"/>
        <w:rPr>
          <w:rFonts w:ascii="宋体" w:hAnsi="Arial" w:cs="宋体"/>
          <w:b/>
          <w:bCs/>
          <w:color w:val="000000"/>
          <w:kern w:val="0"/>
          <w:sz w:val="24"/>
          <w:szCs w:val="24"/>
        </w:rPr>
      </w:pPr>
      <w:r>
        <w:rPr>
          <w:rFonts w:ascii="宋体" w:hAnsi="Arial" w:cs="宋体"/>
          <w:b/>
          <w:bCs/>
          <w:color w:val="000000"/>
          <w:kern w:val="0"/>
          <w:sz w:val="24"/>
          <w:szCs w:val="24"/>
        </w:rPr>
        <w:t xml:space="preserve">5.2 </w:t>
      </w:r>
      <w:r>
        <w:rPr>
          <w:rFonts w:ascii="宋体" w:hAnsi="Arial" w:cs="宋体" w:hint="eastAsia"/>
          <w:b/>
          <w:bCs/>
          <w:color w:val="000000"/>
          <w:kern w:val="0"/>
          <w:sz w:val="24"/>
          <w:szCs w:val="24"/>
        </w:rPr>
        <w:t>其他与转换相关的事项</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5.2.1</w:t>
      </w:r>
      <w:r>
        <w:rPr>
          <w:rFonts w:ascii="宋体" w:hAnsi="Arial" w:cs="宋体" w:hint="eastAsia"/>
          <w:color w:val="000000"/>
          <w:kern w:val="0"/>
          <w:sz w:val="24"/>
          <w:szCs w:val="24"/>
        </w:rPr>
        <w:t xml:space="preserve"> </w:t>
      </w:r>
      <w:r>
        <w:rPr>
          <w:rFonts w:ascii="宋体" w:hAnsi="Arial" w:cs="宋体" w:hint="eastAsia"/>
          <w:b/>
          <w:color w:val="000000"/>
          <w:kern w:val="0"/>
          <w:sz w:val="24"/>
          <w:szCs w:val="24"/>
        </w:rPr>
        <w:t>基金转换的时间</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投资者需在转出基金和转入基金均有交易的当日，方可办理基金转换业务。</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5.2.2 </w:t>
      </w:r>
      <w:r>
        <w:rPr>
          <w:rFonts w:ascii="宋体" w:hAnsi="Arial" w:cs="宋体" w:hint="eastAsia"/>
          <w:b/>
          <w:color w:val="000000"/>
          <w:kern w:val="0"/>
          <w:sz w:val="24"/>
          <w:szCs w:val="24"/>
        </w:rPr>
        <w:t>基金转换的原则</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、采用份额转换原则，即基金转换以份额申请；</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、当日的转换申请可以在当日交易结束前撤销，在当日的交易时间结束后不得撤销；</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3</w:t>
      </w:r>
      <w:r>
        <w:rPr>
          <w:rFonts w:ascii="宋体" w:cs="宋体" w:hint="eastAsia"/>
          <w:color w:val="000000"/>
          <w:kern w:val="0"/>
          <w:sz w:val="24"/>
          <w:szCs w:val="24"/>
        </w:rPr>
        <w:t>、基金转换价格以申请转换当日各基金份额净值为基础计算；</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4</w:t>
      </w:r>
      <w:r>
        <w:rPr>
          <w:rFonts w:ascii="宋体" w:cs="宋体" w:hint="eastAsia"/>
          <w:color w:val="000000"/>
          <w:kern w:val="0"/>
          <w:sz w:val="24"/>
          <w:szCs w:val="24"/>
        </w:rPr>
        <w:t>、基金转换只能在同一销售机构进行。转换的两只基金必须都是该销售机构代理的同一基金管理人管理的、在同一注册登记人处注册登记的基金；</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5</w:t>
      </w:r>
      <w:r>
        <w:rPr>
          <w:rFonts w:ascii="宋体" w:cs="宋体" w:hint="eastAsia"/>
          <w:color w:val="000000"/>
          <w:kern w:val="0"/>
          <w:sz w:val="24"/>
          <w:szCs w:val="24"/>
        </w:rPr>
        <w:t>、转出基金份额遵循“先进先出”的原则，即先认（申）购的基金份额在转换时先转换。转入的基金份额的持有期将自转入的基金份额被确认之日起重新开始计算；</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6</w:t>
      </w:r>
      <w:r>
        <w:rPr>
          <w:rFonts w:ascii="宋体" w:cs="宋体" w:hint="eastAsia"/>
          <w:color w:val="000000"/>
          <w:kern w:val="0"/>
          <w:sz w:val="24"/>
          <w:szCs w:val="24"/>
        </w:rPr>
        <w:t>、基金管理人可在不损</w:t>
      </w:r>
      <w:r>
        <w:rPr>
          <w:rFonts w:ascii="宋体" w:cs="宋体" w:hint="eastAsia"/>
          <w:color w:val="000000"/>
          <w:kern w:val="0"/>
          <w:sz w:val="24"/>
          <w:szCs w:val="24"/>
        </w:rPr>
        <w:t>害基金份额持有人权益的情况下更改上述原则，但应在新的原则实施前在规定媒介公告。</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5.2.3 </w:t>
      </w:r>
      <w:r>
        <w:rPr>
          <w:rFonts w:ascii="宋体" w:hAnsi="Arial" w:cs="宋体" w:hint="eastAsia"/>
          <w:b/>
          <w:color w:val="000000"/>
          <w:kern w:val="0"/>
          <w:sz w:val="24"/>
          <w:szCs w:val="24"/>
        </w:rPr>
        <w:t>基金转换的程序</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、基金转换的申请方式</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基金投资者必须根据基金管理人和基金代销机构规定的手续，在开放日的业务办理时间提出转换的申请；</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投资者提交基金转换申请时，账户中必须有足够可用的转出基金份额余额；</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、基金转换申请的确认</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基金管理人应在规定的基金转换业务办理时间段内收到基金转换申请的当天作为基金转换的申请日（</w:t>
      </w:r>
      <w:r>
        <w:rPr>
          <w:rFonts w:ascii="宋体" w:cs="宋体"/>
          <w:color w:val="000000"/>
          <w:kern w:val="0"/>
          <w:sz w:val="24"/>
          <w:szCs w:val="24"/>
        </w:rPr>
        <w:t>T</w:t>
      </w:r>
      <w:r>
        <w:rPr>
          <w:rFonts w:ascii="宋体" w:cs="宋体" w:hint="eastAsia"/>
          <w:color w:val="000000"/>
          <w:kern w:val="0"/>
          <w:sz w:val="24"/>
          <w:szCs w:val="24"/>
        </w:rPr>
        <w:t>日），并在</w:t>
      </w:r>
      <w:r>
        <w:rPr>
          <w:rFonts w:ascii="宋体" w:cs="宋体"/>
          <w:color w:val="000000"/>
          <w:kern w:val="0"/>
          <w:sz w:val="24"/>
          <w:szCs w:val="24"/>
        </w:rPr>
        <w:t>T+1</w:t>
      </w:r>
      <w:r>
        <w:rPr>
          <w:rFonts w:ascii="宋体" w:cs="宋体" w:hint="eastAsia"/>
          <w:color w:val="000000"/>
          <w:kern w:val="0"/>
          <w:sz w:val="24"/>
          <w:szCs w:val="24"/>
        </w:rPr>
        <w:t>日对该交易的有效性进行确认。投资者可在</w:t>
      </w:r>
      <w:r>
        <w:rPr>
          <w:rFonts w:ascii="宋体" w:cs="宋体"/>
          <w:color w:val="000000"/>
          <w:kern w:val="0"/>
          <w:sz w:val="24"/>
          <w:szCs w:val="24"/>
        </w:rPr>
        <w:t>T+2</w:t>
      </w:r>
      <w:r>
        <w:rPr>
          <w:rFonts w:ascii="宋体" w:cs="宋体" w:hint="eastAsia"/>
          <w:color w:val="000000"/>
          <w:kern w:val="0"/>
          <w:sz w:val="24"/>
          <w:szCs w:val="24"/>
        </w:rPr>
        <w:t>日及之后查询成交情况。</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5.2.4 </w:t>
      </w:r>
      <w:r>
        <w:rPr>
          <w:rFonts w:ascii="宋体" w:hAnsi="Arial" w:cs="宋体" w:hint="eastAsia"/>
          <w:b/>
          <w:color w:val="000000"/>
          <w:kern w:val="0"/>
          <w:sz w:val="24"/>
          <w:szCs w:val="24"/>
        </w:rPr>
        <w:t>基金转换</w:t>
      </w:r>
      <w:r>
        <w:rPr>
          <w:rFonts w:ascii="宋体" w:hAnsi="Arial" w:cs="宋体" w:hint="eastAsia"/>
          <w:b/>
          <w:color w:val="000000"/>
          <w:kern w:val="0"/>
          <w:sz w:val="24"/>
          <w:szCs w:val="24"/>
        </w:rPr>
        <w:t>的数额限制</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1</w:t>
      </w:r>
      <w:r>
        <w:rPr>
          <w:rFonts w:ascii="宋体" w:cs="宋体" w:hint="eastAsia"/>
          <w:color w:val="000000"/>
          <w:kern w:val="0"/>
          <w:sz w:val="24"/>
          <w:szCs w:val="24"/>
        </w:rPr>
        <w:t>、直销机构</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基金管理人网上交易基金转换申请单笔的最低限额为</w:t>
      </w:r>
      <w:r>
        <w:rPr>
          <w:rFonts w:ascii="宋体" w:cs="宋体" w:hint="eastAsia"/>
          <w:color w:val="000000"/>
          <w:kern w:val="0"/>
          <w:sz w:val="24"/>
          <w:szCs w:val="24"/>
        </w:rPr>
        <w:t>1</w:t>
      </w:r>
      <w:r>
        <w:rPr>
          <w:rFonts w:ascii="宋体" w:cs="宋体" w:hint="eastAsia"/>
          <w:color w:val="000000"/>
          <w:kern w:val="0"/>
          <w:sz w:val="24"/>
          <w:szCs w:val="24"/>
        </w:rPr>
        <w:t>份。如转出基金份额低于</w:t>
      </w:r>
      <w:r>
        <w:rPr>
          <w:rFonts w:ascii="宋体" w:cs="宋体" w:hint="eastAsia"/>
          <w:color w:val="000000"/>
          <w:kern w:val="0"/>
          <w:sz w:val="24"/>
          <w:szCs w:val="24"/>
        </w:rPr>
        <w:t>1</w:t>
      </w:r>
      <w:r>
        <w:rPr>
          <w:rFonts w:ascii="宋体" w:cs="宋体" w:hint="eastAsia"/>
          <w:color w:val="000000"/>
          <w:kern w:val="0"/>
          <w:sz w:val="24"/>
          <w:szCs w:val="24"/>
        </w:rPr>
        <w:t>份将会确认失败，如减去申请份额后转出基金剩余份额低于</w:t>
      </w:r>
      <w:r>
        <w:rPr>
          <w:rFonts w:ascii="宋体" w:cs="宋体" w:hint="eastAsia"/>
          <w:color w:val="000000"/>
          <w:kern w:val="0"/>
          <w:sz w:val="24"/>
          <w:szCs w:val="24"/>
        </w:rPr>
        <w:t>1</w:t>
      </w:r>
      <w:r>
        <w:rPr>
          <w:rFonts w:ascii="宋体" w:cs="宋体" w:hint="eastAsia"/>
          <w:color w:val="000000"/>
          <w:kern w:val="0"/>
          <w:sz w:val="24"/>
          <w:szCs w:val="24"/>
        </w:rPr>
        <w:t>份，剩余部分将会强制赎回。</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基金管理人可根据市场情况制定或调整上述基金转换的有关限制并及时公告。</w:t>
      </w:r>
    </w:p>
    <w:p w:rsidR="00C44B72" w:rsidRDefault="007843FE">
      <w:pPr>
        <w:spacing w:line="360" w:lineRule="auto"/>
        <w:ind w:firstLineChars="200" w:firstLine="480"/>
        <w:rPr>
          <w:rFonts w:ascii="宋体" w:cs="宋体"/>
          <w:color w:val="000000"/>
          <w:kern w:val="0"/>
          <w:sz w:val="24"/>
          <w:szCs w:val="24"/>
        </w:rPr>
      </w:pPr>
      <w:r>
        <w:rPr>
          <w:rFonts w:ascii="宋体" w:cs="宋体"/>
          <w:color w:val="000000"/>
          <w:kern w:val="0"/>
          <w:sz w:val="24"/>
          <w:szCs w:val="24"/>
        </w:rPr>
        <w:t>2</w:t>
      </w:r>
      <w:r>
        <w:rPr>
          <w:rFonts w:ascii="宋体" w:cs="宋体" w:hint="eastAsia"/>
          <w:color w:val="000000"/>
          <w:kern w:val="0"/>
          <w:sz w:val="24"/>
          <w:szCs w:val="24"/>
        </w:rPr>
        <w:t>、代销机构</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代销机构基金转换单笔的最低限额以各代销机构的具体规定为准。</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 xml:space="preserve">5.2.5 </w:t>
      </w:r>
      <w:r>
        <w:rPr>
          <w:rFonts w:ascii="宋体" w:hAnsi="Arial" w:cs="宋体" w:hint="eastAsia"/>
          <w:b/>
          <w:color w:val="000000"/>
          <w:kern w:val="0"/>
          <w:sz w:val="24"/>
          <w:szCs w:val="24"/>
        </w:rPr>
        <w:t>基金转换的注册登记</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投资者申请基金转换成功后，基金注册登记机构在</w:t>
      </w:r>
      <w:r>
        <w:rPr>
          <w:rFonts w:ascii="宋体" w:cs="宋体" w:hint="eastAsia"/>
          <w:color w:val="000000"/>
          <w:kern w:val="0"/>
          <w:sz w:val="24"/>
          <w:szCs w:val="24"/>
        </w:rPr>
        <w:t>T+1</w:t>
      </w:r>
      <w:r>
        <w:rPr>
          <w:rFonts w:ascii="宋体" w:cs="宋体" w:hint="eastAsia"/>
          <w:color w:val="000000"/>
          <w:kern w:val="0"/>
          <w:sz w:val="24"/>
          <w:szCs w:val="24"/>
        </w:rPr>
        <w:t>日为投资者办理减少转出基金份额、增加转入基金份额的权益登记手续。</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基金管理人可在法律法规允许的范围内，对上述注册登记办理时间进行调整，并于开始实施前在规定媒介公告。</w:t>
      </w:r>
    </w:p>
    <w:p w:rsidR="00C44B72" w:rsidRDefault="007843FE">
      <w:pPr>
        <w:autoSpaceDE w:val="0"/>
        <w:autoSpaceDN w:val="0"/>
        <w:adjustRightInd w:val="0"/>
        <w:spacing w:before="29" w:line="288" w:lineRule="auto"/>
        <w:ind w:left="15"/>
        <w:rPr>
          <w:rFonts w:ascii="宋体" w:hAnsi="Arial" w:cs="宋体"/>
          <w:b/>
          <w:color w:val="000000"/>
          <w:kern w:val="0"/>
          <w:sz w:val="24"/>
          <w:szCs w:val="24"/>
        </w:rPr>
      </w:pPr>
      <w:r>
        <w:rPr>
          <w:rFonts w:ascii="宋体" w:hAnsi="Arial" w:cs="宋体" w:hint="eastAsia"/>
          <w:b/>
          <w:color w:val="000000"/>
          <w:kern w:val="0"/>
          <w:sz w:val="24"/>
          <w:szCs w:val="24"/>
        </w:rPr>
        <w:t>5.2.</w:t>
      </w:r>
      <w:r>
        <w:rPr>
          <w:rFonts w:ascii="宋体" w:hAnsi="Arial" w:cs="宋体"/>
          <w:b/>
          <w:color w:val="000000"/>
          <w:kern w:val="0"/>
          <w:sz w:val="24"/>
          <w:szCs w:val="24"/>
        </w:rPr>
        <w:t>6</w:t>
      </w:r>
      <w:r>
        <w:rPr>
          <w:rFonts w:ascii="宋体" w:hAnsi="Arial" w:cs="宋体" w:hint="eastAsia"/>
          <w:b/>
          <w:color w:val="000000"/>
          <w:kern w:val="0"/>
          <w:sz w:val="24"/>
          <w:szCs w:val="24"/>
        </w:rPr>
        <w:t xml:space="preserve"> </w:t>
      </w:r>
      <w:r>
        <w:rPr>
          <w:rFonts w:ascii="宋体" w:hAnsi="Arial" w:cs="宋体" w:hint="eastAsia"/>
          <w:b/>
          <w:color w:val="000000"/>
          <w:kern w:val="0"/>
          <w:sz w:val="24"/>
          <w:szCs w:val="24"/>
        </w:rPr>
        <w:t>暂停基金转换业务的情形及处理</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基金转换视同为转出基金的赎回和转入基金的申购，因此有关转出基金和转入基金基金合同和基金招募说明书更新中关于暂停或拒绝申购、赎回的有关规定适用于暂停基金转换。</w:t>
      </w:r>
    </w:p>
    <w:p w:rsidR="00C44B72" w:rsidRDefault="00C44B72">
      <w:pPr>
        <w:spacing w:line="360" w:lineRule="auto"/>
        <w:ind w:firstLineChars="200" w:firstLine="480"/>
        <w:rPr>
          <w:rFonts w:ascii="宋体" w:cs="宋体"/>
          <w:color w:val="000000"/>
          <w:kern w:val="0"/>
          <w:sz w:val="24"/>
          <w:szCs w:val="24"/>
        </w:rPr>
      </w:pP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6</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定期定额投资业务</w:t>
      </w:r>
    </w:p>
    <w:p w:rsidR="00C44B72" w:rsidRDefault="007843FE">
      <w:pPr>
        <w:autoSpaceDE w:val="0"/>
        <w:autoSpaceDN w:val="0"/>
        <w:adjustRightInd w:val="0"/>
        <w:spacing w:before="29" w:line="360" w:lineRule="auto"/>
        <w:ind w:left="15" w:firstLine="495"/>
        <w:rPr>
          <w:rFonts w:ascii="宋体" w:cs="宋体"/>
          <w:color w:val="000000"/>
          <w:kern w:val="0"/>
          <w:sz w:val="24"/>
          <w:szCs w:val="24"/>
        </w:rPr>
      </w:pPr>
      <w:r>
        <w:rPr>
          <w:rFonts w:ascii="宋体" w:cs="宋体" w:hint="eastAsia"/>
          <w:color w:val="000000"/>
          <w:kern w:val="0"/>
          <w:sz w:val="24"/>
          <w:szCs w:val="24"/>
        </w:rPr>
        <w:t>本基金暂不开通此项业务。</w:t>
      </w:r>
    </w:p>
    <w:p w:rsidR="00C44B72" w:rsidRDefault="00C44B72">
      <w:pPr>
        <w:autoSpaceDE w:val="0"/>
        <w:autoSpaceDN w:val="0"/>
        <w:adjustRightInd w:val="0"/>
        <w:spacing w:before="29" w:line="360" w:lineRule="auto"/>
        <w:ind w:left="15" w:firstLine="495"/>
        <w:rPr>
          <w:rFonts w:ascii="宋体" w:hAnsi="Arial" w:cs="宋体"/>
          <w:b/>
          <w:bCs/>
          <w:color w:val="000000"/>
          <w:kern w:val="0"/>
          <w:sz w:val="24"/>
          <w:szCs w:val="24"/>
        </w:rPr>
      </w:pP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基金销售机构</w:t>
      </w: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场外销售机构</w:t>
      </w: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.1.1 </w:t>
      </w:r>
      <w:r>
        <w:rPr>
          <w:rFonts w:ascii="宋体" w:hAnsi="Arial" w:cs="宋体" w:hint="eastAsia"/>
          <w:b/>
          <w:bCs/>
          <w:color w:val="000000"/>
          <w:kern w:val="0"/>
          <w:sz w:val="24"/>
          <w:szCs w:val="24"/>
        </w:rPr>
        <w:t>直销机构</w:t>
      </w:r>
    </w:p>
    <w:p w:rsidR="00C44B72" w:rsidRDefault="007843FE">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名称：安信基金管理有限责任公司</w:t>
      </w:r>
    </w:p>
    <w:p w:rsidR="00C44B72" w:rsidRDefault="007843FE">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住所：深圳市福田区福田街道福安社区福华一路</w:t>
      </w:r>
      <w:r>
        <w:rPr>
          <w:rFonts w:cs="宋体" w:hint="eastAsia"/>
          <w:color w:val="000000"/>
          <w:kern w:val="0"/>
          <w:sz w:val="24"/>
          <w:szCs w:val="24"/>
        </w:rPr>
        <w:t>119</w:t>
      </w:r>
      <w:r>
        <w:rPr>
          <w:rFonts w:cs="宋体" w:hint="eastAsia"/>
          <w:color w:val="000000"/>
          <w:kern w:val="0"/>
          <w:sz w:val="24"/>
          <w:szCs w:val="24"/>
        </w:rPr>
        <w:t>号安信金融大厦</w:t>
      </w:r>
      <w:r>
        <w:rPr>
          <w:rFonts w:cs="宋体" w:hint="eastAsia"/>
          <w:color w:val="000000"/>
          <w:kern w:val="0"/>
          <w:sz w:val="24"/>
          <w:szCs w:val="24"/>
        </w:rPr>
        <w:t>29</w:t>
      </w:r>
      <w:r>
        <w:rPr>
          <w:rFonts w:cs="宋体" w:hint="eastAsia"/>
          <w:color w:val="000000"/>
          <w:kern w:val="0"/>
          <w:sz w:val="24"/>
          <w:szCs w:val="24"/>
        </w:rPr>
        <w:t>楼</w:t>
      </w:r>
    </w:p>
    <w:p w:rsidR="00C44B72" w:rsidRDefault="007843FE">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办公地址：深圳市福田区福田街道福安社区福华一路</w:t>
      </w:r>
      <w:r>
        <w:rPr>
          <w:rFonts w:cs="宋体" w:hint="eastAsia"/>
          <w:color w:val="000000"/>
          <w:kern w:val="0"/>
          <w:sz w:val="24"/>
          <w:szCs w:val="24"/>
        </w:rPr>
        <w:t>119</w:t>
      </w:r>
      <w:r>
        <w:rPr>
          <w:rFonts w:cs="宋体" w:hint="eastAsia"/>
          <w:color w:val="000000"/>
          <w:kern w:val="0"/>
          <w:sz w:val="24"/>
          <w:szCs w:val="24"/>
        </w:rPr>
        <w:t>号安信金融大厦</w:t>
      </w:r>
      <w:r>
        <w:rPr>
          <w:rFonts w:cs="宋体" w:hint="eastAsia"/>
          <w:color w:val="000000"/>
          <w:kern w:val="0"/>
          <w:sz w:val="24"/>
          <w:szCs w:val="24"/>
        </w:rPr>
        <w:t>27</w:t>
      </w:r>
      <w:r>
        <w:rPr>
          <w:rFonts w:cs="宋体" w:hint="eastAsia"/>
          <w:color w:val="000000"/>
          <w:kern w:val="0"/>
          <w:sz w:val="24"/>
          <w:szCs w:val="24"/>
        </w:rPr>
        <w:t>楼</w:t>
      </w:r>
    </w:p>
    <w:p w:rsidR="00C44B72" w:rsidRDefault="007843FE">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电话：</w:t>
      </w:r>
      <w:r>
        <w:rPr>
          <w:color w:val="000000"/>
          <w:kern w:val="0"/>
          <w:sz w:val="24"/>
          <w:szCs w:val="24"/>
        </w:rPr>
        <w:t>0755</w:t>
      </w:r>
      <w:r>
        <w:rPr>
          <w:rFonts w:cs="宋体" w:hint="eastAsia"/>
          <w:color w:val="000000"/>
          <w:kern w:val="0"/>
          <w:sz w:val="24"/>
          <w:szCs w:val="24"/>
        </w:rPr>
        <w:t>－</w:t>
      </w:r>
      <w:r>
        <w:rPr>
          <w:color w:val="000000"/>
          <w:kern w:val="0"/>
          <w:sz w:val="24"/>
          <w:szCs w:val="24"/>
        </w:rPr>
        <w:t>82509820</w:t>
      </w:r>
    </w:p>
    <w:p w:rsidR="00C44B72" w:rsidRDefault="007843FE">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传真：</w:t>
      </w:r>
      <w:r>
        <w:rPr>
          <w:color w:val="000000"/>
          <w:kern w:val="0"/>
          <w:sz w:val="24"/>
          <w:szCs w:val="24"/>
        </w:rPr>
        <w:t>0755</w:t>
      </w:r>
      <w:r>
        <w:rPr>
          <w:rFonts w:cs="宋体" w:hint="eastAsia"/>
          <w:color w:val="000000"/>
          <w:kern w:val="0"/>
          <w:sz w:val="24"/>
          <w:szCs w:val="24"/>
        </w:rPr>
        <w:t>－</w:t>
      </w:r>
      <w:r>
        <w:rPr>
          <w:color w:val="000000"/>
          <w:kern w:val="0"/>
          <w:sz w:val="24"/>
          <w:szCs w:val="24"/>
        </w:rPr>
        <w:t>82509920</w:t>
      </w:r>
    </w:p>
    <w:p w:rsidR="00C44B72" w:rsidRDefault="007843FE">
      <w:pPr>
        <w:autoSpaceDE w:val="0"/>
        <w:autoSpaceDN w:val="0"/>
        <w:adjustRightInd w:val="0"/>
        <w:spacing w:before="30" w:line="360" w:lineRule="auto"/>
        <w:ind w:left="15"/>
        <w:rPr>
          <w:color w:val="000000"/>
          <w:kern w:val="0"/>
          <w:sz w:val="24"/>
          <w:szCs w:val="24"/>
        </w:rPr>
      </w:pPr>
      <w:r>
        <w:rPr>
          <w:color w:val="000000"/>
          <w:kern w:val="0"/>
          <w:sz w:val="24"/>
          <w:szCs w:val="24"/>
        </w:rPr>
        <w:t xml:space="preserve">    </w:t>
      </w:r>
      <w:r>
        <w:rPr>
          <w:rFonts w:cs="宋体" w:hint="eastAsia"/>
          <w:color w:val="000000"/>
          <w:kern w:val="0"/>
          <w:sz w:val="24"/>
          <w:szCs w:val="24"/>
        </w:rPr>
        <w:t>联系人：江程</w:t>
      </w:r>
    </w:p>
    <w:p w:rsidR="00C44B72" w:rsidRDefault="007843FE">
      <w:pPr>
        <w:autoSpaceDE w:val="0"/>
        <w:autoSpaceDN w:val="0"/>
        <w:adjustRightInd w:val="0"/>
        <w:spacing w:before="30" w:line="360" w:lineRule="auto"/>
        <w:ind w:left="15" w:firstLine="480"/>
        <w:rPr>
          <w:color w:val="000000"/>
          <w:kern w:val="0"/>
          <w:sz w:val="24"/>
          <w:szCs w:val="24"/>
        </w:rPr>
      </w:pPr>
      <w:r>
        <w:rPr>
          <w:rFonts w:cs="宋体" w:hint="eastAsia"/>
          <w:color w:val="000000"/>
          <w:kern w:val="0"/>
          <w:sz w:val="24"/>
          <w:szCs w:val="24"/>
        </w:rPr>
        <w:t>客户服务电话：</w:t>
      </w:r>
      <w:r>
        <w:rPr>
          <w:color w:val="000000"/>
          <w:kern w:val="0"/>
          <w:sz w:val="24"/>
          <w:szCs w:val="24"/>
        </w:rPr>
        <w:t>4008-088-088</w:t>
      </w:r>
    </w:p>
    <w:p w:rsidR="00C44B72" w:rsidRDefault="007843FE">
      <w:pPr>
        <w:autoSpaceDE w:val="0"/>
        <w:autoSpaceDN w:val="0"/>
        <w:adjustRightInd w:val="0"/>
        <w:spacing w:before="30" w:line="360" w:lineRule="auto"/>
        <w:ind w:left="15" w:firstLine="480"/>
        <w:rPr>
          <w:color w:val="000000"/>
          <w:kern w:val="0"/>
          <w:sz w:val="24"/>
          <w:szCs w:val="24"/>
        </w:rPr>
      </w:pPr>
      <w:r>
        <w:rPr>
          <w:rFonts w:hint="eastAsia"/>
          <w:color w:val="000000"/>
          <w:kern w:val="0"/>
          <w:sz w:val="24"/>
          <w:szCs w:val="24"/>
        </w:rPr>
        <w:t>网址：</w:t>
      </w:r>
      <w:r>
        <w:rPr>
          <w:rFonts w:hint="eastAsia"/>
          <w:color w:val="000000"/>
          <w:kern w:val="0"/>
          <w:sz w:val="24"/>
          <w:szCs w:val="24"/>
        </w:rPr>
        <w:t>www.essencefund.com</w:t>
      </w:r>
    </w:p>
    <w:p w:rsidR="00C44B72" w:rsidRDefault="00C44B72">
      <w:pPr>
        <w:autoSpaceDE w:val="0"/>
        <w:autoSpaceDN w:val="0"/>
        <w:adjustRightInd w:val="0"/>
        <w:spacing w:line="360" w:lineRule="auto"/>
        <w:rPr>
          <w:rFonts w:ascii="MS Sans Serif" w:hAnsi="MS Sans Serif" w:cs="MS Sans Serif"/>
          <w:color w:val="000000"/>
          <w:kern w:val="0"/>
          <w:sz w:val="23"/>
          <w:szCs w:val="23"/>
        </w:rPr>
      </w:pP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7</w:t>
      </w:r>
      <w:r>
        <w:rPr>
          <w:rFonts w:ascii="宋体" w:hAnsi="Arial" w:cs="宋体"/>
          <w:b/>
          <w:bCs/>
          <w:color w:val="000000"/>
          <w:kern w:val="0"/>
          <w:sz w:val="24"/>
          <w:szCs w:val="24"/>
        </w:rPr>
        <w:t xml:space="preserve">.1.2 </w:t>
      </w:r>
      <w:r>
        <w:rPr>
          <w:rFonts w:ascii="宋体" w:hAnsi="Arial" w:cs="宋体" w:hint="eastAsia"/>
          <w:b/>
          <w:bCs/>
          <w:color w:val="000000"/>
          <w:kern w:val="0"/>
          <w:sz w:val="24"/>
          <w:szCs w:val="24"/>
        </w:rPr>
        <w:t>场外非直销机构</w:t>
      </w:r>
    </w:p>
    <w:p w:rsidR="00C44B72" w:rsidRDefault="007843FE">
      <w:pPr>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上海长量基金销售有限公司</w:t>
      </w:r>
      <w:r>
        <w:rPr>
          <w:rFonts w:ascii="宋体" w:cs="宋体" w:hint="eastAsia"/>
          <w:color w:val="000000"/>
          <w:kern w:val="0"/>
          <w:sz w:val="24"/>
          <w:szCs w:val="24"/>
        </w:rPr>
        <w:t>、上海天天基金销售有限公司、上海好买基金销售有限公司、深圳众禄基金销售股份有限公司、</w:t>
      </w:r>
      <w:r>
        <w:rPr>
          <w:rFonts w:ascii="宋体" w:cs="宋体" w:hint="eastAsia"/>
          <w:color w:val="000000"/>
          <w:kern w:val="0"/>
          <w:sz w:val="24"/>
          <w:szCs w:val="24"/>
        </w:rPr>
        <w:t>招商银行股份有限公司</w:t>
      </w:r>
      <w:r>
        <w:rPr>
          <w:rFonts w:ascii="宋体" w:cs="宋体" w:hint="eastAsia"/>
          <w:color w:val="000000"/>
          <w:kern w:val="0"/>
          <w:sz w:val="24"/>
          <w:szCs w:val="24"/>
        </w:rPr>
        <w:t>、杭州银行股份有限公司、上海利得基金销售有限公司、</w:t>
      </w:r>
      <w:r>
        <w:rPr>
          <w:rFonts w:ascii="宋体" w:cs="宋体" w:hint="eastAsia"/>
          <w:color w:val="000000"/>
          <w:kern w:val="0"/>
          <w:sz w:val="24"/>
          <w:szCs w:val="24"/>
        </w:rPr>
        <w:t>五矿证券股份有限公司、广发证券股份有限公司。</w:t>
      </w:r>
    </w:p>
    <w:p w:rsidR="00C44B72" w:rsidRDefault="007843FE">
      <w:pPr>
        <w:spacing w:line="360" w:lineRule="auto"/>
        <w:ind w:firstLineChars="200" w:firstLine="480"/>
        <w:rPr>
          <w:sz w:val="24"/>
        </w:rPr>
      </w:pPr>
      <w:r>
        <w:rPr>
          <w:rFonts w:ascii="宋体" w:cs="宋体" w:hint="eastAsia"/>
          <w:color w:val="000000"/>
          <w:kern w:val="0"/>
          <w:sz w:val="24"/>
          <w:szCs w:val="24"/>
        </w:rPr>
        <w:t>各销售渠道可销售的基金份额类别、可办理的基金业务类型及其具体业务办理状况以其各自规定为准。基金管理人可根据情况变更或增减销售机构，并在基金管理人网站公示，投资者可登录网站（</w:t>
      </w:r>
      <w:r>
        <w:rPr>
          <w:rFonts w:ascii="宋体" w:cs="宋体" w:hint="eastAsia"/>
          <w:color w:val="000000"/>
          <w:kern w:val="0"/>
          <w:sz w:val="24"/>
          <w:szCs w:val="24"/>
        </w:rPr>
        <w:t>www.essencefund.com</w:t>
      </w:r>
      <w:r>
        <w:rPr>
          <w:rFonts w:ascii="宋体" w:cs="宋体" w:hint="eastAsia"/>
          <w:color w:val="000000"/>
          <w:kern w:val="0"/>
          <w:sz w:val="24"/>
          <w:szCs w:val="24"/>
        </w:rPr>
        <w:t>）查询本基金销售机构信息</w:t>
      </w:r>
      <w:bookmarkStart w:id="2" w:name="_GoBack"/>
      <w:bookmarkEnd w:id="2"/>
      <w:r>
        <w:rPr>
          <w:rFonts w:ascii="宋体" w:cs="宋体" w:hint="eastAsia"/>
          <w:color w:val="000000"/>
          <w:kern w:val="0"/>
          <w:sz w:val="24"/>
          <w:szCs w:val="24"/>
        </w:rPr>
        <w:t>。</w:t>
      </w:r>
    </w:p>
    <w:p w:rsidR="00C44B72" w:rsidRDefault="00C44B72">
      <w:pPr>
        <w:autoSpaceDE w:val="0"/>
        <w:autoSpaceDN w:val="0"/>
        <w:adjustRightInd w:val="0"/>
        <w:spacing w:line="360" w:lineRule="auto"/>
        <w:rPr>
          <w:rFonts w:ascii="MS Sans Serif" w:hAnsi="MS Sans Serif" w:cs="MS Sans Serif"/>
          <w:color w:val="000000"/>
          <w:kern w:val="0"/>
          <w:sz w:val="23"/>
          <w:szCs w:val="23"/>
        </w:rPr>
      </w:pP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8</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基金份额净值公告</w:t>
      </w:r>
      <w:r>
        <w:rPr>
          <w:rFonts w:ascii="宋体" w:hAnsi="Arial" w:cs="宋体"/>
          <w:b/>
          <w:bCs/>
          <w:color w:val="000000"/>
          <w:kern w:val="0"/>
          <w:sz w:val="24"/>
          <w:szCs w:val="24"/>
        </w:rPr>
        <w:t>/</w:t>
      </w:r>
      <w:r>
        <w:rPr>
          <w:rFonts w:ascii="宋体" w:hAnsi="Arial" w:cs="宋体" w:hint="eastAsia"/>
          <w:b/>
          <w:bCs/>
          <w:color w:val="000000"/>
          <w:kern w:val="0"/>
          <w:sz w:val="24"/>
          <w:szCs w:val="24"/>
        </w:rPr>
        <w:t>基金收益公告的披露安排</w:t>
      </w:r>
    </w:p>
    <w:p w:rsidR="00C44B72" w:rsidRDefault="007843FE">
      <w:pPr>
        <w:autoSpaceDE w:val="0"/>
        <w:autoSpaceDN w:val="0"/>
        <w:adjustRightInd w:val="0"/>
        <w:spacing w:before="29" w:line="360" w:lineRule="auto"/>
        <w:ind w:left="15" w:firstLineChars="200" w:firstLine="480"/>
        <w:rPr>
          <w:rFonts w:ascii="宋体" w:cs="宋体"/>
          <w:color w:val="000000"/>
          <w:kern w:val="0"/>
          <w:sz w:val="24"/>
          <w:szCs w:val="24"/>
        </w:rPr>
      </w:pPr>
      <w:bookmarkStart w:id="3" w:name="_Hlk80187052"/>
      <w:r>
        <w:rPr>
          <w:rFonts w:ascii="宋体" w:cs="宋体" w:hint="eastAsia"/>
          <w:color w:val="000000"/>
          <w:kern w:val="0"/>
          <w:sz w:val="24"/>
          <w:szCs w:val="24"/>
        </w:rPr>
        <w:t>在本基金的开放期期间内，基金管理人应当在不晚于每个开放日的次日，通过规定网站、基金销售机构网站或者营业网点披露开放日的基金份额净值</w:t>
      </w:r>
      <w:r>
        <w:rPr>
          <w:rFonts w:ascii="宋体" w:cs="宋体" w:hint="eastAsia"/>
          <w:color w:val="000000"/>
          <w:kern w:val="0"/>
          <w:sz w:val="24"/>
          <w:szCs w:val="24"/>
        </w:rPr>
        <w:t>和基金份额累计净值。</w:t>
      </w:r>
    </w:p>
    <w:p w:rsidR="00C44B72" w:rsidRDefault="007843FE">
      <w:pPr>
        <w:autoSpaceDE w:val="0"/>
        <w:autoSpaceDN w:val="0"/>
        <w:adjustRightInd w:val="0"/>
        <w:spacing w:before="29" w:line="360" w:lineRule="auto"/>
        <w:ind w:left="15" w:firstLineChars="200" w:firstLine="480"/>
        <w:rPr>
          <w:rFonts w:ascii="宋体" w:cs="宋体"/>
          <w:color w:val="000000"/>
          <w:kern w:val="0"/>
          <w:sz w:val="24"/>
          <w:szCs w:val="24"/>
        </w:rPr>
      </w:pPr>
      <w:r>
        <w:rPr>
          <w:rFonts w:ascii="宋体" w:cs="宋体" w:hint="eastAsia"/>
          <w:color w:val="000000"/>
          <w:kern w:val="0"/>
          <w:sz w:val="24"/>
          <w:szCs w:val="24"/>
        </w:rPr>
        <w:t>基金管理人应当在不晚于半年度和年度最后一日的次日，在规定网站披露半年度和年度最后一日的基金份额净值和基金份额累计净值。</w:t>
      </w:r>
    </w:p>
    <w:bookmarkEnd w:id="3"/>
    <w:p w:rsidR="00C44B72" w:rsidRDefault="00C44B72">
      <w:pPr>
        <w:autoSpaceDE w:val="0"/>
        <w:autoSpaceDN w:val="0"/>
        <w:adjustRightInd w:val="0"/>
        <w:spacing w:line="360" w:lineRule="auto"/>
        <w:ind w:firstLineChars="200" w:firstLine="482"/>
        <w:rPr>
          <w:rFonts w:ascii="宋体" w:hAnsi="Arial" w:cs="宋体"/>
          <w:b/>
          <w:bCs/>
          <w:color w:val="000000"/>
          <w:kern w:val="0"/>
          <w:sz w:val="24"/>
          <w:szCs w:val="24"/>
        </w:rPr>
      </w:pPr>
    </w:p>
    <w:p w:rsidR="00C44B72" w:rsidRDefault="007843FE">
      <w:pPr>
        <w:autoSpaceDE w:val="0"/>
        <w:autoSpaceDN w:val="0"/>
        <w:adjustRightInd w:val="0"/>
        <w:spacing w:before="29" w:line="360" w:lineRule="auto"/>
        <w:ind w:left="15"/>
        <w:rPr>
          <w:rFonts w:ascii="宋体" w:hAnsi="Arial" w:cs="宋体"/>
          <w:b/>
          <w:bCs/>
          <w:color w:val="000000"/>
          <w:kern w:val="0"/>
          <w:sz w:val="24"/>
          <w:szCs w:val="24"/>
        </w:rPr>
      </w:pPr>
      <w:r>
        <w:rPr>
          <w:rFonts w:ascii="宋体" w:hAnsi="Arial" w:cs="宋体" w:hint="eastAsia"/>
          <w:b/>
          <w:bCs/>
          <w:color w:val="000000"/>
          <w:kern w:val="0"/>
          <w:sz w:val="24"/>
          <w:szCs w:val="24"/>
        </w:rPr>
        <w:t>9</w:t>
      </w:r>
      <w:r>
        <w:rPr>
          <w:rFonts w:ascii="宋体" w:hAnsi="Arial" w:cs="宋体"/>
          <w:b/>
          <w:bCs/>
          <w:color w:val="000000"/>
          <w:kern w:val="0"/>
          <w:sz w:val="24"/>
          <w:szCs w:val="24"/>
        </w:rPr>
        <w:t xml:space="preserve"> </w:t>
      </w:r>
      <w:r>
        <w:rPr>
          <w:rFonts w:ascii="宋体" w:hAnsi="Arial" w:cs="宋体" w:hint="eastAsia"/>
          <w:b/>
          <w:bCs/>
          <w:color w:val="000000"/>
          <w:kern w:val="0"/>
          <w:sz w:val="24"/>
          <w:szCs w:val="24"/>
        </w:rPr>
        <w:t>其他需要提示的事项</w:t>
      </w:r>
    </w:p>
    <w:p w:rsidR="00C44B72" w:rsidRDefault="007843FE">
      <w:pPr>
        <w:autoSpaceDE w:val="0"/>
        <w:autoSpaceDN w:val="0"/>
        <w:adjustRightInd w:val="0"/>
        <w:spacing w:line="360" w:lineRule="auto"/>
        <w:ind w:firstLineChars="200" w:firstLine="480"/>
        <w:rPr>
          <w:rFonts w:ascii="宋体" w:cs="宋体"/>
          <w:color w:val="000000"/>
          <w:kern w:val="0"/>
          <w:sz w:val="24"/>
          <w:szCs w:val="24"/>
        </w:rPr>
      </w:pPr>
      <w:bookmarkStart w:id="4" w:name="_Hlk80187094"/>
      <w:r>
        <w:rPr>
          <w:rFonts w:ascii="宋体" w:cs="宋体" w:hint="eastAsia"/>
          <w:color w:val="000000"/>
          <w:kern w:val="0"/>
          <w:sz w:val="24"/>
          <w:szCs w:val="24"/>
        </w:rPr>
        <w:t>1</w:t>
      </w:r>
      <w:r>
        <w:rPr>
          <w:rFonts w:ascii="宋体" w:cs="宋体" w:hint="eastAsia"/>
          <w:color w:val="000000"/>
          <w:kern w:val="0"/>
          <w:sz w:val="24"/>
          <w:szCs w:val="24"/>
        </w:rPr>
        <w:t>、基金管理人可在法律法规允许的情况下，调整上述规定申购金额和赎回份额的数量限制。基金管理人必须在调整实施前依照《</w:t>
      </w:r>
      <w:bookmarkStart w:id="5" w:name="_Hlk121412850"/>
      <w:r>
        <w:rPr>
          <w:rFonts w:ascii="宋体" w:cs="宋体" w:hint="eastAsia"/>
          <w:color w:val="000000"/>
          <w:kern w:val="0"/>
          <w:sz w:val="24"/>
          <w:szCs w:val="24"/>
        </w:rPr>
        <w:t>公开募集证券投资基金信息披露管理办法</w:t>
      </w:r>
      <w:bookmarkEnd w:id="5"/>
      <w:r>
        <w:rPr>
          <w:rFonts w:ascii="宋体" w:cs="宋体" w:hint="eastAsia"/>
          <w:color w:val="000000"/>
          <w:kern w:val="0"/>
          <w:sz w:val="24"/>
          <w:szCs w:val="24"/>
        </w:rPr>
        <w:t>》的有关规定在规定媒介上公告。</w:t>
      </w:r>
    </w:p>
    <w:p w:rsidR="00C44B72" w:rsidRDefault="007843FE">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2</w:t>
      </w:r>
      <w:r>
        <w:rPr>
          <w:rFonts w:ascii="宋体" w:cs="宋体" w:hint="eastAsia"/>
          <w:color w:val="000000"/>
          <w:kern w:val="0"/>
          <w:sz w:val="24"/>
          <w:szCs w:val="24"/>
        </w:rPr>
        <w:t>、基金管理人可以在不违反法律法规规定及基金合同约定的情形下根据市场情况制定基金促销计划，针对投资人定期或不定期地开展基金促销活动。在基金促销活动期间，在对现有基</w:t>
      </w:r>
      <w:r>
        <w:rPr>
          <w:rFonts w:ascii="宋体" w:cs="宋体" w:hint="eastAsia"/>
          <w:color w:val="000000"/>
          <w:kern w:val="0"/>
          <w:sz w:val="24"/>
          <w:szCs w:val="24"/>
        </w:rPr>
        <w:t>金份额持有人利益无实质不利影响的前提下，并按相关监管部门要求履行必要手续后，基金管理人可以适当调低基金申购费率和基金赎回费率，并进行公告。基金管理人可以参加其他销售机构的基金促销活动。在基金促销活动期间，投资者在开展对应基金促销活动的机构办理业务的适用该销售机构的费率，基金管理人可不再另行公告</w:t>
      </w:r>
    </w:p>
    <w:p w:rsidR="00C44B72" w:rsidRDefault="007843FE">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3</w:t>
      </w:r>
      <w:r>
        <w:rPr>
          <w:rFonts w:ascii="宋体" w:cs="宋体" w:hint="eastAsia"/>
          <w:color w:val="000000"/>
          <w:kern w:val="0"/>
          <w:sz w:val="24"/>
          <w:szCs w:val="24"/>
        </w:rPr>
        <w:t>、基金管理人可以在基金合同约定的范围内调整费率或收费方式，基金管理人最迟应于新的费率或收费方式实施日前依照《公开募集证券投资基金信息披露管理办法》的有关规定在规定的媒介上公告。</w:t>
      </w:r>
    </w:p>
    <w:bookmarkEnd w:id="4"/>
    <w:p w:rsidR="00C44B72" w:rsidRDefault="007843FE">
      <w:pPr>
        <w:autoSpaceDE w:val="0"/>
        <w:autoSpaceDN w:val="0"/>
        <w:adjustRightInd w:val="0"/>
        <w:spacing w:line="360" w:lineRule="auto"/>
        <w:ind w:firstLineChars="200" w:firstLine="480"/>
        <w:rPr>
          <w:rFonts w:ascii="宋体" w:cs="宋体"/>
          <w:color w:val="000000"/>
          <w:kern w:val="0"/>
          <w:sz w:val="24"/>
          <w:szCs w:val="24"/>
        </w:rPr>
      </w:pPr>
      <w:r>
        <w:rPr>
          <w:rFonts w:ascii="宋体" w:cs="宋体" w:hint="eastAsia"/>
          <w:color w:val="000000"/>
          <w:kern w:val="0"/>
          <w:sz w:val="24"/>
          <w:szCs w:val="24"/>
        </w:rPr>
        <w:t>4</w:t>
      </w:r>
      <w:r>
        <w:rPr>
          <w:rFonts w:ascii="宋体" w:cs="宋体" w:hint="eastAsia"/>
          <w:color w:val="000000"/>
          <w:kern w:val="0"/>
          <w:sz w:val="24"/>
          <w:szCs w:val="24"/>
        </w:rPr>
        <w:t>、本公告仅对本</w:t>
      </w:r>
      <w:r>
        <w:rPr>
          <w:rFonts w:ascii="宋体" w:hAnsi="Arial" w:cs="宋体" w:hint="eastAsia"/>
          <w:color w:val="000000"/>
          <w:kern w:val="0"/>
          <w:sz w:val="24"/>
          <w:szCs w:val="24"/>
        </w:rPr>
        <w:t>基金</w:t>
      </w:r>
      <w:r>
        <w:rPr>
          <w:rFonts w:ascii="宋体" w:cs="宋体" w:hint="eastAsia"/>
          <w:color w:val="000000"/>
          <w:kern w:val="0"/>
          <w:sz w:val="24"/>
          <w:szCs w:val="24"/>
        </w:rPr>
        <w:t>本次开放</w:t>
      </w:r>
      <w:r>
        <w:rPr>
          <w:rFonts w:ascii="宋体" w:cs="宋体" w:hint="eastAsia"/>
          <w:color w:val="000000"/>
          <w:kern w:val="0"/>
          <w:sz w:val="24"/>
          <w:szCs w:val="24"/>
        </w:rPr>
        <w:t>期</w:t>
      </w:r>
      <w:r>
        <w:rPr>
          <w:rFonts w:ascii="宋体" w:cs="宋体" w:hint="eastAsia"/>
          <w:color w:val="000000"/>
          <w:kern w:val="0"/>
          <w:sz w:val="24"/>
          <w:szCs w:val="24"/>
        </w:rPr>
        <w:t>即</w:t>
      </w:r>
      <w:r>
        <w:rPr>
          <w:rFonts w:ascii="宋体" w:cs="宋体" w:hint="eastAsia"/>
          <w:color w:val="000000"/>
          <w:kern w:val="0"/>
          <w:sz w:val="24"/>
          <w:szCs w:val="24"/>
        </w:rPr>
        <w:t>20</w:t>
      </w:r>
      <w:r>
        <w:rPr>
          <w:rFonts w:ascii="宋体" w:cs="宋体"/>
          <w:color w:val="000000"/>
          <w:kern w:val="0"/>
          <w:sz w:val="24"/>
          <w:szCs w:val="24"/>
        </w:rPr>
        <w:t>2</w:t>
      </w:r>
      <w:r>
        <w:rPr>
          <w:rFonts w:ascii="宋体" w:cs="宋体" w:hint="eastAsia"/>
          <w:color w:val="000000"/>
          <w:kern w:val="0"/>
          <w:sz w:val="24"/>
          <w:szCs w:val="24"/>
        </w:rPr>
        <w:t>6</w:t>
      </w:r>
      <w:r>
        <w:rPr>
          <w:rFonts w:ascii="宋体" w:cs="宋体" w:hint="eastAsia"/>
          <w:color w:val="000000"/>
          <w:kern w:val="0"/>
          <w:sz w:val="24"/>
          <w:szCs w:val="24"/>
        </w:rPr>
        <w:t>年</w:t>
      </w:r>
      <w:r>
        <w:rPr>
          <w:rFonts w:ascii="宋体" w:cs="宋体" w:hint="eastAsia"/>
          <w:color w:val="000000"/>
          <w:kern w:val="0"/>
          <w:sz w:val="24"/>
          <w:szCs w:val="24"/>
        </w:rPr>
        <w:t>1</w:t>
      </w:r>
      <w:r>
        <w:rPr>
          <w:rFonts w:ascii="宋体" w:cs="宋体" w:hint="eastAsia"/>
          <w:color w:val="000000"/>
          <w:kern w:val="0"/>
          <w:sz w:val="24"/>
          <w:szCs w:val="24"/>
        </w:rPr>
        <w:t>月</w:t>
      </w:r>
      <w:r>
        <w:rPr>
          <w:rFonts w:ascii="宋体" w:cs="宋体" w:hint="eastAsia"/>
          <w:color w:val="000000"/>
          <w:kern w:val="0"/>
          <w:sz w:val="24"/>
          <w:szCs w:val="24"/>
        </w:rPr>
        <w:t>5</w:t>
      </w:r>
      <w:r>
        <w:rPr>
          <w:rFonts w:ascii="宋体" w:cs="宋体" w:hint="eastAsia"/>
          <w:color w:val="000000"/>
          <w:kern w:val="0"/>
          <w:sz w:val="24"/>
          <w:szCs w:val="24"/>
        </w:rPr>
        <w:t>日办理其申购、赎回和转换等相关事项予以说明。投资者欲了解本基金的详细情况，请详细阅读</w:t>
      </w:r>
      <w:r>
        <w:rPr>
          <w:rFonts w:ascii="宋体" w:cs="宋体" w:hint="eastAsia"/>
          <w:color w:val="000000"/>
          <w:kern w:val="0"/>
          <w:sz w:val="24"/>
          <w:szCs w:val="24"/>
        </w:rPr>
        <w:t>2021</w:t>
      </w:r>
      <w:r>
        <w:rPr>
          <w:rFonts w:ascii="宋体" w:cs="宋体" w:hint="eastAsia"/>
          <w:color w:val="000000"/>
          <w:kern w:val="0"/>
          <w:sz w:val="24"/>
          <w:szCs w:val="24"/>
        </w:rPr>
        <w:t>年</w:t>
      </w:r>
      <w:r>
        <w:rPr>
          <w:rFonts w:ascii="宋体" w:cs="宋体" w:hint="eastAsia"/>
          <w:color w:val="000000"/>
          <w:kern w:val="0"/>
          <w:sz w:val="24"/>
          <w:szCs w:val="24"/>
        </w:rPr>
        <w:t>12</w:t>
      </w:r>
      <w:r>
        <w:rPr>
          <w:rFonts w:ascii="宋体" w:cs="宋体" w:hint="eastAsia"/>
          <w:color w:val="000000"/>
          <w:kern w:val="0"/>
          <w:sz w:val="24"/>
          <w:szCs w:val="24"/>
        </w:rPr>
        <w:t>月</w:t>
      </w:r>
      <w:r>
        <w:rPr>
          <w:rFonts w:ascii="宋体" w:cs="宋体" w:hint="eastAsia"/>
          <w:color w:val="000000"/>
          <w:kern w:val="0"/>
          <w:sz w:val="24"/>
          <w:szCs w:val="24"/>
        </w:rPr>
        <w:t>04</w:t>
      </w:r>
      <w:r>
        <w:rPr>
          <w:rFonts w:ascii="宋体" w:cs="宋体" w:hint="eastAsia"/>
          <w:color w:val="000000"/>
          <w:kern w:val="0"/>
          <w:sz w:val="24"/>
          <w:szCs w:val="24"/>
        </w:rPr>
        <w:t>日</w:t>
      </w:r>
      <w:bookmarkStart w:id="6" w:name="_Hlk80187145"/>
      <w:r>
        <w:rPr>
          <w:rFonts w:ascii="宋体" w:cs="宋体" w:hint="eastAsia"/>
          <w:color w:val="000000"/>
          <w:kern w:val="0"/>
          <w:sz w:val="24"/>
          <w:szCs w:val="24"/>
        </w:rPr>
        <w:t>登载于中国证监会基金电子信息披露网站</w:t>
      </w:r>
      <w:r>
        <w:rPr>
          <w:rFonts w:ascii="宋体" w:cs="宋体" w:hint="eastAsia"/>
          <w:color w:val="000000"/>
          <w:kern w:val="0"/>
          <w:sz w:val="24"/>
          <w:szCs w:val="24"/>
        </w:rPr>
        <w:t>(http://eid.csrc.gov.cn/fund)</w:t>
      </w:r>
      <w:r>
        <w:rPr>
          <w:rFonts w:ascii="宋体" w:cs="宋体" w:hint="eastAsia"/>
          <w:color w:val="000000"/>
          <w:kern w:val="0"/>
          <w:sz w:val="24"/>
          <w:szCs w:val="24"/>
        </w:rPr>
        <w:t>和本公司网站</w:t>
      </w:r>
      <w:r>
        <w:rPr>
          <w:rFonts w:ascii="宋体" w:cs="宋体" w:hint="eastAsia"/>
          <w:color w:val="000000"/>
          <w:kern w:val="0"/>
          <w:sz w:val="24"/>
          <w:szCs w:val="24"/>
        </w:rPr>
        <w:t xml:space="preserve">(www.essencefund.com) </w:t>
      </w:r>
      <w:r>
        <w:rPr>
          <w:rFonts w:ascii="宋体" w:cs="宋体" w:hint="eastAsia"/>
          <w:color w:val="000000"/>
          <w:kern w:val="0"/>
          <w:sz w:val="24"/>
          <w:szCs w:val="24"/>
        </w:rPr>
        <w:t>上的</w:t>
      </w:r>
      <w:bookmarkEnd w:id="6"/>
      <w:r>
        <w:rPr>
          <w:rFonts w:cs="宋体" w:hint="eastAsia"/>
          <w:color w:val="000000"/>
          <w:kern w:val="0"/>
          <w:sz w:val="24"/>
          <w:szCs w:val="24"/>
        </w:rPr>
        <w:t>《安信永宁一年定期开放债券型发起式证券投资基金基金合同》和《安信永宁一年定期开放债券型发起式证券投资基金招募说明书》等相关资料及其更新。</w:t>
      </w:r>
    </w:p>
    <w:p w:rsidR="00C44B72" w:rsidRDefault="007843FE">
      <w:pPr>
        <w:autoSpaceDE w:val="0"/>
        <w:autoSpaceDN w:val="0"/>
        <w:adjustRightInd w:val="0"/>
        <w:spacing w:line="360" w:lineRule="auto"/>
        <w:ind w:firstLineChars="200" w:firstLine="480"/>
        <w:rPr>
          <w:color w:val="000000"/>
          <w:kern w:val="0"/>
          <w:sz w:val="24"/>
          <w:szCs w:val="24"/>
        </w:rPr>
      </w:pPr>
      <w:r>
        <w:rPr>
          <w:rFonts w:cs="宋体" w:hint="eastAsia"/>
          <w:color w:val="000000"/>
          <w:kern w:val="0"/>
          <w:sz w:val="24"/>
          <w:szCs w:val="24"/>
        </w:rPr>
        <w:t>5</w:t>
      </w:r>
      <w:r>
        <w:rPr>
          <w:rFonts w:cs="宋体" w:hint="eastAsia"/>
          <w:color w:val="000000"/>
          <w:kern w:val="0"/>
          <w:sz w:val="24"/>
          <w:szCs w:val="24"/>
        </w:rPr>
        <w:t>、有关本基金开放申购、赎回和转换的具体规定若有变化，本公司将另行公告。</w:t>
      </w:r>
    </w:p>
    <w:p w:rsidR="00C44B72" w:rsidRDefault="007843FE">
      <w:pPr>
        <w:autoSpaceDE w:val="0"/>
        <w:autoSpaceDN w:val="0"/>
        <w:adjustRightInd w:val="0"/>
        <w:spacing w:line="360" w:lineRule="auto"/>
        <w:ind w:firstLineChars="200" w:firstLine="480"/>
        <w:rPr>
          <w:color w:val="000000"/>
          <w:kern w:val="0"/>
          <w:sz w:val="24"/>
          <w:szCs w:val="24"/>
        </w:rPr>
      </w:pPr>
      <w:r>
        <w:rPr>
          <w:rFonts w:cs="宋体" w:hint="eastAsia"/>
          <w:color w:val="000000"/>
          <w:kern w:val="0"/>
          <w:sz w:val="24"/>
          <w:szCs w:val="24"/>
        </w:rPr>
        <w:t>风险提示：基金管理人承诺以诚</w:t>
      </w:r>
      <w:r>
        <w:rPr>
          <w:rFonts w:cs="宋体" w:hint="eastAsia"/>
          <w:color w:val="000000"/>
          <w:kern w:val="0"/>
          <w:sz w:val="24"/>
          <w:szCs w:val="24"/>
        </w:rPr>
        <w:t>实信用、勤勉尽责的原则管理和运用基金资产，但不保证基金一定盈利，也不保证最低收益。基金投资有风险，敬请投资人认真阅读基金的相关法律文件，并选择适合自身风险承受能力的投资品种进行投资。</w:t>
      </w:r>
    </w:p>
    <w:p w:rsidR="00C44B72" w:rsidRDefault="007843FE">
      <w:pPr>
        <w:autoSpaceDE w:val="0"/>
        <w:autoSpaceDN w:val="0"/>
        <w:adjustRightInd w:val="0"/>
        <w:spacing w:line="360" w:lineRule="auto"/>
        <w:ind w:firstLineChars="200" w:firstLine="480"/>
        <w:rPr>
          <w:color w:val="000000"/>
          <w:kern w:val="0"/>
          <w:sz w:val="24"/>
          <w:szCs w:val="24"/>
        </w:rPr>
      </w:pPr>
      <w:r>
        <w:rPr>
          <w:rFonts w:cs="宋体" w:hint="eastAsia"/>
          <w:color w:val="000000"/>
          <w:kern w:val="0"/>
          <w:sz w:val="24"/>
          <w:szCs w:val="24"/>
        </w:rPr>
        <w:t>安信基金管理有限责任公司客户服务热线：</w:t>
      </w:r>
      <w:r>
        <w:rPr>
          <w:color w:val="000000"/>
          <w:kern w:val="0"/>
          <w:sz w:val="24"/>
          <w:szCs w:val="24"/>
        </w:rPr>
        <w:t>4008-088-088</w:t>
      </w:r>
      <w:r>
        <w:rPr>
          <w:rFonts w:cs="宋体" w:hint="eastAsia"/>
          <w:color w:val="000000"/>
          <w:kern w:val="0"/>
          <w:sz w:val="24"/>
          <w:szCs w:val="24"/>
        </w:rPr>
        <w:t>，公司网址：</w:t>
      </w:r>
      <w:r>
        <w:rPr>
          <w:color w:val="000000"/>
          <w:kern w:val="0"/>
          <w:sz w:val="24"/>
          <w:szCs w:val="24"/>
        </w:rPr>
        <w:t>www.essencefund.com</w:t>
      </w:r>
      <w:r>
        <w:rPr>
          <w:rFonts w:cs="宋体" w:hint="eastAsia"/>
          <w:color w:val="000000"/>
          <w:kern w:val="0"/>
          <w:sz w:val="24"/>
          <w:szCs w:val="24"/>
        </w:rPr>
        <w:t>。</w:t>
      </w:r>
    </w:p>
    <w:p w:rsidR="00C44B72" w:rsidRDefault="00C44B72">
      <w:pPr>
        <w:autoSpaceDE w:val="0"/>
        <w:autoSpaceDN w:val="0"/>
        <w:adjustRightInd w:val="0"/>
        <w:spacing w:before="29" w:line="288" w:lineRule="auto"/>
        <w:ind w:left="15"/>
        <w:jc w:val="left"/>
        <w:rPr>
          <w:color w:val="000000"/>
          <w:kern w:val="0"/>
          <w:sz w:val="24"/>
          <w:szCs w:val="24"/>
        </w:rPr>
      </w:pPr>
    </w:p>
    <w:p w:rsidR="00C44B72" w:rsidRDefault="007843FE">
      <w:pPr>
        <w:autoSpaceDE w:val="0"/>
        <w:autoSpaceDN w:val="0"/>
        <w:adjustRightInd w:val="0"/>
        <w:spacing w:line="360" w:lineRule="auto"/>
        <w:ind w:firstLineChars="200" w:firstLine="480"/>
        <w:jc w:val="left"/>
        <w:rPr>
          <w:color w:val="000000"/>
          <w:kern w:val="0"/>
          <w:sz w:val="24"/>
          <w:szCs w:val="24"/>
        </w:rPr>
      </w:pPr>
      <w:r>
        <w:rPr>
          <w:rFonts w:cs="宋体" w:hint="eastAsia"/>
          <w:color w:val="000000"/>
          <w:kern w:val="0"/>
          <w:sz w:val="24"/>
          <w:szCs w:val="24"/>
        </w:rPr>
        <w:t>特此公告。</w:t>
      </w:r>
    </w:p>
    <w:p w:rsidR="00C44B72" w:rsidRDefault="00C44B72">
      <w:pPr>
        <w:autoSpaceDE w:val="0"/>
        <w:autoSpaceDN w:val="0"/>
        <w:adjustRightInd w:val="0"/>
        <w:spacing w:before="29" w:line="288" w:lineRule="auto"/>
        <w:ind w:left="15"/>
        <w:jc w:val="left"/>
        <w:rPr>
          <w:color w:val="000000"/>
          <w:kern w:val="0"/>
          <w:sz w:val="24"/>
          <w:szCs w:val="24"/>
        </w:rPr>
      </w:pPr>
    </w:p>
    <w:p w:rsidR="00C44B72" w:rsidRDefault="007843FE">
      <w:pPr>
        <w:autoSpaceDE w:val="0"/>
        <w:autoSpaceDN w:val="0"/>
        <w:adjustRightInd w:val="0"/>
        <w:spacing w:before="29" w:line="288" w:lineRule="auto"/>
        <w:ind w:left="15"/>
        <w:jc w:val="left"/>
        <w:rPr>
          <w:color w:val="000000"/>
          <w:kern w:val="0"/>
          <w:sz w:val="24"/>
          <w:szCs w:val="24"/>
        </w:rPr>
      </w:pPr>
      <w:r>
        <w:rPr>
          <w:color w:val="000000"/>
          <w:kern w:val="0"/>
          <w:sz w:val="24"/>
          <w:szCs w:val="24"/>
        </w:rPr>
        <w:t xml:space="preserve">                                                 </w:t>
      </w:r>
      <w:r>
        <w:rPr>
          <w:rFonts w:cs="宋体" w:hint="eastAsia"/>
          <w:color w:val="000000"/>
          <w:kern w:val="0"/>
          <w:sz w:val="24"/>
          <w:szCs w:val="24"/>
        </w:rPr>
        <w:t>安信基金管理有限责任公司</w:t>
      </w:r>
    </w:p>
    <w:p w:rsidR="00C44B72" w:rsidRDefault="007843FE">
      <w:pPr>
        <w:autoSpaceDE w:val="0"/>
        <w:autoSpaceDN w:val="0"/>
        <w:adjustRightInd w:val="0"/>
        <w:spacing w:before="29" w:line="288" w:lineRule="auto"/>
        <w:ind w:left="15"/>
        <w:jc w:val="left"/>
        <w:rPr>
          <w:color w:val="000000"/>
          <w:kern w:val="0"/>
          <w:sz w:val="24"/>
          <w:szCs w:val="24"/>
        </w:rPr>
      </w:pPr>
      <w:r>
        <w:rPr>
          <w:color w:val="000000"/>
          <w:kern w:val="0"/>
          <w:sz w:val="24"/>
          <w:szCs w:val="24"/>
        </w:rPr>
        <w:t xml:space="preserve">                                    </w:t>
      </w:r>
      <w:r>
        <w:rPr>
          <w:color w:val="000000"/>
          <w:kern w:val="0"/>
          <w:sz w:val="24"/>
          <w:szCs w:val="24"/>
        </w:rPr>
        <w:t xml:space="preserve">              </w:t>
      </w:r>
      <w:r>
        <w:rPr>
          <w:rFonts w:hint="eastAsia"/>
          <w:color w:val="000000"/>
          <w:kern w:val="0"/>
          <w:sz w:val="24"/>
          <w:szCs w:val="24"/>
        </w:rPr>
        <w:t xml:space="preserve">    </w:t>
      </w:r>
      <w:r>
        <w:rPr>
          <w:rFonts w:cs="宋体" w:hint="eastAsia"/>
          <w:color w:val="000000"/>
          <w:kern w:val="0"/>
          <w:sz w:val="24"/>
          <w:szCs w:val="24"/>
        </w:rPr>
        <w:t>20</w:t>
      </w:r>
      <w:r>
        <w:rPr>
          <w:rFonts w:cs="宋体"/>
          <w:color w:val="000000"/>
          <w:kern w:val="0"/>
          <w:sz w:val="24"/>
          <w:szCs w:val="24"/>
        </w:rPr>
        <w:t>2</w:t>
      </w:r>
      <w:r>
        <w:rPr>
          <w:rFonts w:cs="宋体" w:hint="eastAsia"/>
          <w:color w:val="000000"/>
          <w:kern w:val="0"/>
          <w:sz w:val="24"/>
          <w:szCs w:val="24"/>
        </w:rPr>
        <w:t>5</w:t>
      </w:r>
      <w:r>
        <w:rPr>
          <w:rFonts w:cs="宋体" w:hint="eastAsia"/>
          <w:color w:val="000000"/>
          <w:kern w:val="0"/>
          <w:sz w:val="24"/>
          <w:szCs w:val="24"/>
        </w:rPr>
        <w:t>年</w:t>
      </w:r>
      <w:r>
        <w:rPr>
          <w:rFonts w:cs="宋体" w:hint="eastAsia"/>
          <w:color w:val="000000"/>
          <w:kern w:val="0"/>
          <w:sz w:val="24"/>
          <w:szCs w:val="24"/>
        </w:rPr>
        <w:t>12</w:t>
      </w:r>
      <w:r>
        <w:rPr>
          <w:rFonts w:cs="宋体" w:hint="eastAsia"/>
          <w:color w:val="000000"/>
          <w:kern w:val="0"/>
          <w:sz w:val="24"/>
          <w:szCs w:val="24"/>
        </w:rPr>
        <w:t>月</w:t>
      </w:r>
      <w:r>
        <w:rPr>
          <w:rFonts w:cs="宋体" w:hint="eastAsia"/>
          <w:color w:val="000000"/>
          <w:kern w:val="0"/>
          <w:sz w:val="24"/>
          <w:szCs w:val="24"/>
        </w:rPr>
        <w:t>29</w:t>
      </w:r>
      <w:r>
        <w:rPr>
          <w:rFonts w:cs="宋体" w:hint="eastAsia"/>
          <w:color w:val="000000"/>
          <w:kern w:val="0"/>
          <w:sz w:val="24"/>
          <w:szCs w:val="24"/>
        </w:rPr>
        <w:t>日</w:t>
      </w:r>
    </w:p>
    <w:p w:rsidR="00C44B72" w:rsidRDefault="00C44B72">
      <w:pPr>
        <w:autoSpaceDE w:val="0"/>
        <w:autoSpaceDN w:val="0"/>
        <w:adjustRightInd w:val="0"/>
        <w:spacing w:line="360" w:lineRule="auto"/>
        <w:ind w:firstLineChars="200" w:firstLine="480"/>
        <w:jc w:val="left"/>
        <w:rPr>
          <w:rFonts w:ascii="宋体" w:cs="宋体"/>
          <w:color w:val="000000"/>
          <w:kern w:val="0"/>
          <w:sz w:val="24"/>
          <w:szCs w:val="24"/>
        </w:rPr>
      </w:pPr>
    </w:p>
    <w:sectPr w:rsidR="00C44B72" w:rsidSect="00C44B72">
      <w:headerReference w:type="default" r:id="rId7"/>
      <w:foot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B72" w:rsidRDefault="00C44B72" w:rsidP="00C44B72">
      <w:r>
        <w:separator/>
      </w:r>
    </w:p>
  </w:endnote>
  <w:endnote w:type="continuationSeparator" w:id="0">
    <w:p w:rsidR="00C44B72" w:rsidRDefault="00C44B72" w:rsidP="00C44B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S Sans Serif">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2" w:rsidRDefault="00C44B72">
    <w:pPr>
      <w:autoSpaceDE w:val="0"/>
      <w:autoSpaceDN w:val="0"/>
      <w:adjustRightInd w:val="0"/>
      <w:jc w:val="left"/>
      <w:rPr>
        <w:rFonts w:ascii="Arial" w:hAns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B72" w:rsidRDefault="00C44B72" w:rsidP="00C44B72">
      <w:r>
        <w:separator/>
      </w:r>
    </w:p>
  </w:footnote>
  <w:footnote w:type="continuationSeparator" w:id="0">
    <w:p w:rsidR="00C44B72" w:rsidRDefault="00C44B72" w:rsidP="00C44B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B72" w:rsidRDefault="007843FE">
    <w:pPr>
      <w:autoSpaceDE w:val="0"/>
      <w:autoSpaceDN w:val="0"/>
      <w:adjustRightInd w:val="0"/>
      <w:jc w:val="center"/>
      <w:rPr>
        <w:rFonts w:ascii="宋体" w:hAnsi="宋体" w:cs="宋体"/>
        <w:kern w:val="0"/>
        <w:sz w:val="18"/>
        <w:szCs w:val="18"/>
      </w:rPr>
    </w:pPr>
    <w:r>
      <w:rPr>
        <w:rFonts w:ascii="宋体" w:hAnsi="宋体" w:cs="宋体" w:hint="eastAsia"/>
        <w:kern w:val="0"/>
        <w:sz w:val="18"/>
        <w:szCs w:val="18"/>
      </w:rPr>
      <w:t>关于安信永宁一年定期开放债券型发起式证券投资基金</w:t>
    </w:r>
    <w:r>
      <w:rPr>
        <w:rFonts w:ascii="宋体" w:hAnsi="宋体" w:cs="宋体" w:hint="eastAsia"/>
        <w:kern w:val="0"/>
        <w:sz w:val="18"/>
        <w:szCs w:val="18"/>
      </w:rPr>
      <w:t>2026</w:t>
    </w:r>
    <w:r>
      <w:rPr>
        <w:rFonts w:ascii="宋体" w:hAnsi="宋体" w:cs="宋体" w:hint="eastAsia"/>
        <w:kern w:val="0"/>
        <w:sz w:val="18"/>
        <w:szCs w:val="18"/>
      </w:rPr>
      <w:t>年度开放申购、赎回和转换业务的公告</w:t>
    </w:r>
  </w:p>
  <w:tbl>
    <w:tblPr>
      <w:tblW w:w="0" w:type="auto"/>
      <w:tblInd w:w="108" w:type="dxa"/>
      <w:tblLayout w:type="fixed"/>
      <w:tblLook w:val="04A0"/>
    </w:tblPr>
    <w:tblGrid>
      <w:gridCol w:w="9030"/>
    </w:tblGrid>
    <w:tr w:rsidR="00C44B72">
      <w:tc>
        <w:tcPr>
          <w:tcW w:w="9030" w:type="dxa"/>
          <w:tcBorders>
            <w:top w:val="single" w:sz="8" w:space="0" w:color="000000"/>
            <w:left w:val="nil"/>
            <w:bottom w:val="nil"/>
            <w:right w:val="nil"/>
          </w:tcBorders>
        </w:tcPr>
        <w:p w:rsidR="00C44B72" w:rsidRDefault="00C44B72">
          <w:pPr>
            <w:autoSpaceDE w:val="0"/>
            <w:autoSpaceDN w:val="0"/>
            <w:adjustRightInd w:val="0"/>
            <w:jc w:val="left"/>
            <w:rPr>
              <w:rFonts w:ascii="Arial" w:hAnsi="Arial" w:cs="Arial"/>
              <w:color w:val="000000"/>
              <w:kern w:val="0"/>
              <w:sz w:val="24"/>
              <w:szCs w:val="24"/>
            </w:rPr>
          </w:pPr>
        </w:p>
      </w:tc>
    </w:tr>
  </w:tbl>
  <w:p w:rsidR="00C44B72" w:rsidRDefault="00C44B7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720"/>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docVars>
    <w:docVar w:name="commondata" w:val="eyJoZGlkIjoiZWI0MmMxZjU4MTEwZTk2MWNlNDE0ZjQ3NTJkMzVjMTcifQ=="/>
  </w:docVars>
  <w:rsids>
    <w:rsidRoot w:val="00D429BF"/>
    <w:rsid w:val="00012E2B"/>
    <w:rsid w:val="00013367"/>
    <w:rsid w:val="00034036"/>
    <w:rsid w:val="000406AB"/>
    <w:rsid w:val="00042DFF"/>
    <w:rsid w:val="0004444B"/>
    <w:rsid w:val="000527E0"/>
    <w:rsid w:val="0007061A"/>
    <w:rsid w:val="00082E5F"/>
    <w:rsid w:val="00096C50"/>
    <w:rsid w:val="000A257E"/>
    <w:rsid w:val="000B32E2"/>
    <w:rsid w:val="000B59EB"/>
    <w:rsid w:val="000C0A4D"/>
    <w:rsid w:val="000D4576"/>
    <w:rsid w:val="000D6298"/>
    <w:rsid w:val="000E2A85"/>
    <w:rsid w:val="000F1133"/>
    <w:rsid w:val="000F3B31"/>
    <w:rsid w:val="001101DA"/>
    <w:rsid w:val="00135B8D"/>
    <w:rsid w:val="00144623"/>
    <w:rsid w:val="00154D7D"/>
    <w:rsid w:val="00155405"/>
    <w:rsid w:val="001665D4"/>
    <w:rsid w:val="00166E0A"/>
    <w:rsid w:val="001824D1"/>
    <w:rsid w:val="001974E4"/>
    <w:rsid w:val="001A40A7"/>
    <w:rsid w:val="001A46B6"/>
    <w:rsid w:val="001B35D6"/>
    <w:rsid w:val="001B786C"/>
    <w:rsid w:val="001C288D"/>
    <w:rsid w:val="001D4615"/>
    <w:rsid w:val="001E09B7"/>
    <w:rsid w:val="001E4439"/>
    <w:rsid w:val="001F373D"/>
    <w:rsid w:val="00200AF2"/>
    <w:rsid w:val="00203025"/>
    <w:rsid w:val="00205FE4"/>
    <w:rsid w:val="00212C47"/>
    <w:rsid w:val="00227DDB"/>
    <w:rsid w:val="0023067D"/>
    <w:rsid w:val="0023184B"/>
    <w:rsid w:val="0024247F"/>
    <w:rsid w:val="00251D57"/>
    <w:rsid w:val="00270EA3"/>
    <w:rsid w:val="002744CE"/>
    <w:rsid w:val="0028134F"/>
    <w:rsid w:val="0028167B"/>
    <w:rsid w:val="0028361C"/>
    <w:rsid w:val="00287378"/>
    <w:rsid w:val="002A69EF"/>
    <w:rsid w:val="002A7C6E"/>
    <w:rsid w:val="002B3A09"/>
    <w:rsid w:val="002B6980"/>
    <w:rsid w:val="002C15F0"/>
    <w:rsid w:val="002C4DC8"/>
    <w:rsid w:val="002F500A"/>
    <w:rsid w:val="0030330F"/>
    <w:rsid w:val="003241E5"/>
    <w:rsid w:val="003338C5"/>
    <w:rsid w:val="0034058A"/>
    <w:rsid w:val="0035224F"/>
    <w:rsid w:val="00353960"/>
    <w:rsid w:val="003578A9"/>
    <w:rsid w:val="0036531D"/>
    <w:rsid w:val="00374E74"/>
    <w:rsid w:val="00382AE1"/>
    <w:rsid w:val="003876CA"/>
    <w:rsid w:val="00391114"/>
    <w:rsid w:val="003925D8"/>
    <w:rsid w:val="00394BA9"/>
    <w:rsid w:val="003A3B2C"/>
    <w:rsid w:val="003A7C79"/>
    <w:rsid w:val="003B1900"/>
    <w:rsid w:val="003B4BAF"/>
    <w:rsid w:val="003C15BC"/>
    <w:rsid w:val="003E031E"/>
    <w:rsid w:val="003E4D69"/>
    <w:rsid w:val="003E7E3C"/>
    <w:rsid w:val="00401BDD"/>
    <w:rsid w:val="00403576"/>
    <w:rsid w:val="00404560"/>
    <w:rsid w:val="00432765"/>
    <w:rsid w:val="004327DC"/>
    <w:rsid w:val="00436F1E"/>
    <w:rsid w:val="0045152E"/>
    <w:rsid w:val="00454B47"/>
    <w:rsid w:val="004570D2"/>
    <w:rsid w:val="0046195C"/>
    <w:rsid w:val="00470DD2"/>
    <w:rsid w:val="004A1947"/>
    <w:rsid w:val="004B3124"/>
    <w:rsid w:val="004B59FA"/>
    <w:rsid w:val="004C692D"/>
    <w:rsid w:val="004D76C0"/>
    <w:rsid w:val="004E6C86"/>
    <w:rsid w:val="005018A9"/>
    <w:rsid w:val="00511196"/>
    <w:rsid w:val="00512B02"/>
    <w:rsid w:val="005134F9"/>
    <w:rsid w:val="00524243"/>
    <w:rsid w:val="005272D6"/>
    <w:rsid w:val="005438E8"/>
    <w:rsid w:val="005560B9"/>
    <w:rsid w:val="00564512"/>
    <w:rsid w:val="005649B2"/>
    <w:rsid w:val="0056773D"/>
    <w:rsid w:val="005747D2"/>
    <w:rsid w:val="00575FD5"/>
    <w:rsid w:val="00577D59"/>
    <w:rsid w:val="005844E5"/>
    <w:rsid w:val="005A6DB2"/>
    <w:rsid w:val="005B1CBA"/>
    <w:rsid w:val="005E3705"/>
    <w:rsid w:val="005F3E04"/>
    <w:rsid w:val="00600ADC"/>
    <w:rsid w:val="00604E8E"/>
    <w:rsid w:val="006217A1"/>
    <w:rsid w:val="0062373C"/>
    <w:rsid w:val="00624D56"/>
    <w:rsid w:val="00627B53"/>
    <w:rsid w:val="006372E2"/>
    <w:rsid w:val="0064625D"/>
    <w:rsid w:val="00651F04"/>
    <w:rsid w:val="006779E8"/>
    <w:rsid w:val="00677E12"/>
    <w:rsid w:val="00695705"/>
    <w:rsid w:val="0069654E"/>
    <w:rsid w:val="006A5EB3"/>
    <w:rsid w:val="006B2AA6"/>
    <w:rsid w:val="006C533B"/>
    <w:rsid w:val="006C5F88"/>
    <w:rsid w:val="006C745A"/>
    <w:rsid w:val="006D5AD8"/>
    <w:rsid w:val="006D7EA0"/>
    <w:rsid w:val="006E1DE9"/>
    <w:rsid w:val="006E2D44"/>
    <w:rsid w:val="006F0C35"/>
    <w:rsid w:val="006F5272"/>
    <w:rsid w:val="007144B5"/>
    <w:rsid w:val="00717B15"/>
    <w:rsid w:val="0073372B"/>
    <w:rsid w:val="00740133"/>
    <w:rsid w:val="0075365D"/>
    <w:rsid w:val="00761993"/>
    <w:rsid w:val="007658B6"/>
    <w:rsid w:val="007732C0"/>
    <w:rsid w:val="00773A21"/>
    <w:rsid w:val="00776889"/>
    <w:rsid w:val="007843FE"/>
    <w:rsid w:val="00784EE3"/>
    <w:rsid w:val="00791855"/>
    <w:rsid w:val="00796B7A"/>
    <w:rsid w:val="0079768C"/>
    <w:rsid w:val="00797C19"/>
    <w:rsid w:val="007A5FAD"/>
    <w:rsid w:val="007B4FE1"/>
    <w:rsid w:val="007C04A3"/>
    <w:rsid w:val="007D5FEC"/>
    <w:rsid w:val="007F3023"/>
    <w:rsid w:val="00802882"/>
    <w:rsid w:val="008063DE"/>
    <w:rsid w:val="00815589"/>
    <w:rsid w:val="00831674"/>
    <w:rsid w:val="0083170B"/>
    <w:rsid w:val="00835929"/>
    <w:rsid w:val="00857387"/>
    <w:rsid w:val="008634DE"/>
    <w:rsid w:val="008808A1"/>
    <w:rsid w:val="00880D8C"/>
    <w:rsid w:val="008943D5"/>
    <w:rsid w:val="008959E4"/>
    <w:rsid w:val="00896DC2"/>
    <w:rsid w:val="008B34B1"/>
    <w:rsid w:val="008C1EE1"/>
    <w:rsid w:val="008D0ED7"/>
    <w:rsid w:val="008D355A"/>
    <w:rsid w:val="008E23AC"/>
    <w:rsid w:val="00906BCB"/>
    <w:rsid w:val="00912030"/>
    <w:rsid w:val="00916A88"/>
    <w:rsid w:val="00925E2B"/>
    <w:rsid w:val="009265F8"/>
    <w:rsid w:val="0093444D"/>
    <w:rsid w:val="00936BF8"/>
    <w:rsid w:val="00937BD9"/>
    <w:rsid w:val="009434AE"/>
    <w:rsid w:val="0094406A"/>
    <w:rsid w:val="009450CF"/>
    <w:rsid w:val="0095674C"/>
    <w:rsid w:val="00956E46"/>
    <w:rsid w:val="00964CA7"/>
    <w:rsid w:val="009667C5"/>
    <w:rsid w:val="00976545"/>
    <w:rsid w:val="009851DC"/>
    <w:rsid w:val="009A0045"/>
    <w:rsid w:val="009A2440"/>
    <w:rsid w:val="009A6D1B"/>
    <w:rsid w:val="009A7DB5"/>
    <w:rsid w:val="009A7EB2"/>
    <w:rsid w:val="009B1930"/>
    <w:rsid w:val="009B6FF8"/>
    <w:rsid w:val="009C15D9"/>
    <w:rsid w:val="009C21B7"/>
    <w:rsid w:val="009C6226"/>
    <w:rsid w:val="009C73C8"/>
    <w:rsid w:val="009D3211"/>
    <w:rsid w:val="009D382A"/>
    <w:rsid w:val="009D4166"/>
    <w:rsid w:val="009D4F36"/>
    <w:rsid w:val="009F4C93"/>
    <w:rsid w:val="00A07641"/>
    <w:rsid w:val="00A11463"/>
    <w:rsid w:val="00A20163"/>
    <w:rsid w:val="00A24734"/>
    <w:rsid w:val="00A255CF"/>
    <w:rsid w:val="00A37E19"/>
    <w:rsid w:val="00A41757"/>
    <w:rsid w:val="00A4614F"/>
    <w:rsid w:val="00A56496"/>
    <w:rsid w:val="00A56514"/>
    <w:rsid w:val="00A57344"/>
    <w:rsid w:val="00A64F1B"/>
    <w:rsid w:val="00A67B7F"/>
    <w:rsid w:val="00A705FF"/>
    <w:rsid w:val="00A7107E"/>
    <w:rsid w:val="00A7412B"/>
    <w:rsid w:val="00A74E46"/>
    <w:rsid w:val="00A838CE"/>
    <w:rsid w:val="00AA633A"/>
    <w:rsid w:val="00AC3396"/>
    <w:rsid w:val="00AC53D4"/>
    <w:rsid w:val="00AC69DE"/>
    <w:rsid w:val="00AD2C32"/>
    <w:rsid w:val="00AD3BB5"/>
    <w:rsid w:val="00AD695F"/>
    <w:rsid w:val="00AE6CBD"/>
    <w:rsid w:val="00AF0705"/>
    <w:rsid w:val="00AF4D7F"/>
    <w:rsid w:val="00AF4E1A"/>
    <w:rsid w:val="00B056FF"/>
    <w:rsid w:val="00B100E0"/>
    <w:rsid w:val="00B23772"/>
    <w:rsid w:val="00B368A5"/>
    <w:rsid w:val="00B36C71"/>
    <w:rsid w:val="00B45D53"/>
    <w:rsid w:val="00B55934"/>
    <w:rsid w:val="00B609F3"/>
    <w:rsid w:val="00B60EC8"/>
    <w:rsid w:val="00B669A6"/>
    <w:rsid w:val="00B67042"/>
    <w:rsid w:val="00B6777A"/>
    <w:rsid w:val="00B719B3"/>
    <w:rsid w:val="00B74A84"/>
    <w:rsid w:val="00B81D16"/>
    <w:rsid w:val="00B9098F"/>
    <w:rsid w:val="00B9286C"/>
    <w:rsid w:val="00BA61B8"/>
    <w:rsid w:val="00BB5FD5"/>
    <w:rsid w:val="00BC1850"/>
    <w:rsid w:val="00BC6FAA"/>
    <w:rsid w:val="00BD1B59"/>
    <w:rsid w:val="00BD21CB"/>
    <w:rsid w:val="00BD5B9B"/>
    <w:rsid w:val="00BE454B"/>
    <w:rsid w:val="00BE6F12"/>
    <w:rsid w:val="00BF3C24"/>
    <w:rsid w:val="00C00590"/>
    <w:rsid w:val="00C05E3F"/>
    <w:rsid w:val="00C16B3B"/>
    <w:rsid w:val="00C20DFB"/>
    <w:rsid w:val="00C24C82"/>
    <w:rsid w:val="00C2533A"/>
    <w:rsid w:val="00C25E2F"/>
    <w:rsid w:val="00C27AC5"/>
    <w:rsid w:val="00C44B72"/>
    <w:rsid w:val="00C46AE8"/>
    <w:rsid w:val="00C54701"/>
    <w:rsid w:val="00C6683E"/>
    <w:rsid w:val="00C71289"/>
    <w:rsid w:val="00C76979"/>
    <w:rsid w:val="00C91655"/>
    <w:rsid w:val="00C97304"/>
    <w:rsid w:val="00CA6D8E"/>
    <w:rsid w:val="00CA7037"/>
    <w:rsid w:val="00CB60B6"/>
    <w:rsid w:val="00CC648D"/>
    <w:rsid w:val="00CE34D5"/>
    <w:rsid w:val="00D11406"/>
    <w:rsid w:val="00D23546"/>
    <w:rsid w:val="00D32009"/>
    <w:rsid w:val="00D429BF"/>
    <w:rsid w:val="00D441A0"/>
    <w:rsid w:val="00D53205"/>
    <w:rsid w:val="00D568D3"/>
    <w:rsid w:val="00D67C44"/>
    <w:rsid w:val="00D73E6A"/>
    <w:rsid w:val="00D76341"/>
    <w:rsid w:val="00D91342"/>
    <w:rsid w:val="00DA2716"/>
    <w:rsid w:val="00DA3B57"/>
    <w:rsid w:val="00DB39FB"/>
    <w:rsid w:val="00DD7681"/>
    <w:rsid w:val="00DE4524"/>
    <w:rsid w:val="00E000FF"/>
    <w:rsid w:val="00E065B8"/>
    <w:rsid w:val="00E12DD9"/>
    <w:rsid w:val="00E24D45"/>
    <w:rsid w:val="00E25F5B"/>
    <w:rsid w:val="00E41BB4"/>
    <w:rsid w:val="00E50B33"/>
    <w:rsid w:val="00E569F4"/>
    <w:rsid w:val="00E64513"/>
    <w:rsid w:val="00E6540F"/>
    <w:rsid w:val="00E91C13"/>
    <w:rsid w:val="00E95127"/>
    <w:rsid w:val="00EA4A27"/>
    <w:rsid w:val="00EA4A43"/>
    <w:rsid w:val="00EC0244"/>
    <w:rsid w:val="00EC575D"/>
    <w:rsid w:val="00ED70AC"/>
    <w:rsid w:val="00EE2B43"/>
    <w:rsid w:val="00F0747B"/>
    <w:rsid w:val="00F21A12"/>
    <w:rsid w:val="00F22704"/>
    <w:rsid w:val="00F3069B"/>
    <w:rsid w:val="00F31C04"/>
    <w:rsid w:val="00F376C6"/>
    <w:rsid w:val="00F4004C"/>
    <w:rsid w:val="00F464C9"/>
    <w:rsid w:val="00F532B3"/>
    <w:rsid w:val="00F5342D"/>
    <w:rsid w:val="00F5737B"/>
    <w:rsid w:val="00F63DD4"/>
    <w:rsid w:val="00F71AAF"/>
    <w:rsid w:val="00F931E9"/>
    <w:rsid w:val="00F95DFB"/>
    <w:rsid w:val="00FA7665"/>
    <w:rsid w:val="00FB28CB"/>
    <w:rsid w:val="00FB3CF9"/>
    <w:rsid w:val="00FC18B8"/>
    <w:rsid w:val="00FD21BD"/>
    <w:rsid w:val="00FD403A"/>
    <w:rsid w:val="00FD46C6"/>
    <w:rsid w:val="010F7452"/>
    <w:rsid w:val="02781D15"/>
    <w:rsid w:val="097C5FEC"/>
    <w:rsid w:val="0A2E773B"/>
    <w:rsid w:val="0FDF1370"/>
    <w:rsid w:val="1A7847CE"/>
    <w:rsid w:val="1ACE45F7"/>
    <w:rsid w:val="233D76E4"/>
    <w:rsid w:val="282D23BB"/>
    <w:rsid w:val="28701767"/>
    <w:rsid w:val="2ACB3597"/>
    <w:rsid w:val="2AF941FC"/>
    <w:rsid w:val="2B192754"/>
    <w:rsid w:val="2BCB4914"/>
    <w:rsid w:val="3B0C5C6C"/>
    <w:rsid w:val="47B02837"/>
    <w:rsid w:val="4B061779"/>
    <w:rsid w:val="4C500AB7"/>
    <w:rsid w:val="4C637750"/>
    <w:rsid w:val="4D241CFD"/>
    <w:rsid w:val="4DB91851"/>
    <w:rsid w:val="50970679"/>
    <w:rsid w:val="50E7407A"/>
    <w:rsid w:val="5BD06AFD"/>
    <w:rsid w:val="5C2D0778"/>
    <w:rsid w:val="656E0F36"/>
    <w:rsid w:val="65B412F2"/>
    <w:rsid w:val="65CC7B6D"/>
    <w:rsid w:val="69733498"/>
    <w:rsid w:val="69DF2B84"/>
    <w:rsid w:val="6E4C0E51"/>
    <w:rsid w:val="6ECF78C3"/>
    <w:rsid w:val="72E1321F"/>
    <w:rsid w:val="787611CD"/>
    <w:rsid w:val="7A8747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B72"/>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C44B72"/>
    <w:pPr>
      <w:jc w:val="left"/>
    </w:pPr>
    <w:rPr>
      <w:kern w:val="0"/>
      <w:sz w:val="20"/>
    </w:rPr>
  </w:style>
  <w:style w:type="paragraph" w:styleId="a4">
    <w:name w:val="Balloon Text"/>
    <w:basedOn w:val="a"/>
    <w:link w:val="Char0"/>
    <w:uiPriority w:val="99"/>
    <w:unhideWhenUsed/>
    <w:qFormat/>
    <w:rsid w:val="00C44B72"/>
    <w:rPr>
      <w:kern w:val="0"/>
      <w:sz w:val="18"/>
      <w:szCs w:val="18"/>
    </w:rPr>
  </w:style>
  <w:style w:type="paragraph" w:styleId="a5">
    <w:name w:val="footer"/>
    <w:basedOn w:val="a"/>
    <w:link w:val="Char1"/>
    <w:uiPriority w:val="99"/>
    <w:unhideWhenUsed/>
    <w:qFormat/>
    <w:rsid w:val="00C44B72"/>
    <w:pPr>
      <w:tabs>
        <w:tab w:val="center" w:pos="4153"/>
        <w:tab w:val="right" w:pos="8306"/>
      </w:tabs>
      <w:snapToGrid w:val="0"/>
      <w:jc w:val="left"/>
    </w:pPr>
    <w:rPr>
      <w:kern w:val="0"/>
      <w:sz w:val="18"/>
      <w:szCs w:val="18"/>
    </w:rPr>
  </w:style>
  <w:style w:type="paragraph" w:styleId="a6">
    <w:name w:val="header"/>
    <w:basedOn w:val="a"/>
    <w:link w:val="Char2"/>
    <w:uiPriority w:val="99"/>
    <w:unhideWhenUsed/>
    <w:qFormat/>
    <w:rsid w:val="00C44B72"/>
    <w:pPr>
      <w:pBdr>
        <w:bottom w:val="single" w:sz="6" w:space="1" w:color="auto"/>
      </w:pBdr>
      <w:tabs>
        <w:tab w:val="center" w:pos="4153"/>
        <w:tab w:val="right" w:pos="8306"/>
      </w:tabs>
      <w:snapToGrid w:val="0"/>
      <w:jc w:val="center"/>
    </w:pPr>
    <w:rPr>
      <w:kern w:val="0"/>
      <w:sz w:val="18"/>
      <w:szCs w:val="18"/>
    </w:rPr>
  </w:style>
  <w:style w:type="paragraph" w:styleId="a7">
    <w:name w:val="annotation subject"/>
    <w:basedOn w:val="a3"/>
    <w:next w:val="a3"/>
    <w:link w:val="Char3"/>
    <w:uiPriority w:val="99"/>
    <w:unhideWhenUsed/>
    <w:qFormat/>
    <w:rsid w:val="00C44B72"/>
    <w:rPr>
      <w:b/>
      <w:bCs/>
    </w:rPr>
  </w:style>
  <w:style w:type="table" w:styleId="a8">
    <w:name w:val="Table Grid"/>
    <w:basedOn w:val="a1"/>
    <w:uiPriority w:val="59"/>
    <w:qFormat/>
    <w:rsid w:val="00C44B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uiPriority w:val="99"/>
    <w:unhideWhenUsed/>
    <w:qFormat/>
    <w:rsid w:val="00C44B72"/>
    <w:rPr>
      <w:sz w:val="21"/>
      <w:szCs w:val="21"/>
    </w:rPr>
  </w:style>
  <w:style w:type="character" w:customStyle="1" w:styleId="Char0">
    <w:name w:val="批注框文本 Char"/>
    <w:link w:val="a4"/>
    <w:uiPriority w:val="99"/>
    <w:semiHidden/>
    <w:qFormat/>
    <w:rsid w:val="00C44B72"/>
    <w:rPr>
      <w:rFonts w:cs="Times New Roman"/>
      <w:sz w:val="18"/>
      <w:szCs w:val="18"/>
    </w:rPr>
  </w:style>
  <w:style w:type="character" w:customStyle="1" w:styleId="Char">
    <w:name w:val="批注文字 Char"/>
    <w:link w:val="a3"/>
    <w:uiPriority w:val="99"/>
    <w:semiHidden/>
    <w:qFormat/>
    <w:rsid w:val="00C44B72"/>
    <w:rPr>
      <w:rFonts w:cs="Times New Roman"/>
      <w:szCs w:val="22"/>
    </w:rPr>
  </w:style>
  <w:style w:type="character" w:customStyle="1" w:styleId="Char2">
    <w:name w:val="页眉 Char"/>
    <w:link w:val="a6"/>
    <w:uiPriority w:val="99"/>
    <w:qFormat/>
    <w:locked/>
    <w:rsid w:val="00C44B72"/>
    <w:rPr>
      <w:rFonts w:cs="Times New Roman"/>
      <w:sz w:val="18"/>
      <w:szCs w:val="18"/>
    </w:rPr>
  </w:style>
  <w:style w:type="character" w:customStyle="1" w:styleId="Char1">
    <w:name w:val="页脚 Char"/>
    <w:link w:val="a5"/>
    <w:uiPriority w:val="99"/>
    <w:qFormat/>
    <w:locked/>
    <w:rsid w:val="00C44B72"/>
    <w:rPr>
      <w:rFonts w:cs="Times New Roman"/>
      <w:sz w:val="18"/>
      <w:szCs w:val="18"/>
    </w:rPr>
  </w:style>
  <w:style w:type="character" w:customStyle="1" w:styleId="Char3">
    <w:name w:val="批注主题 Char"/>
    <w:link w:val="a7"/>
    <w:uiPriority w:val="99"/>
    <w:semiHidden/>
    <w:qFormat/>
    <w:rsid w:val="00C44B72"/>
    <w:rPr>
      <w:rFonts w:cs="Times New Roman"/>
      <w:b/>
      <w:bCs/>
      <w:szCs w:val="22"/>
    </w:rPr>
  </w:style>
  <w:style w:type="paragraph" w:customStyle="1" w:styleId="Default">
    <w:name w:val="Default"/>
    <w:qFormat/>
    <w:rsid w:val="00C44B72"/>
    <w:pPr>
      <w:widowControl w:val="0"/>
      <w:autoSpaceDE w:val="0"/>
      <w:autoSpaceDN w:val="0"/>
      <w:adjustRightInd w:val="0"/>
    </w:pPr>
    <w:rPr>
      <w:rFonts w:ascii="宋体" w:hAnsi="宋体" w:cs="宋体"/>
      <w:color w:val="000000"/>
      <w:sz w:val="24"/>
      <w:szCs w:val="24"/>
    </w:rPr>
  </w:style>
  <w:style w:type="paragraph" w:customStyle="1" w:styleId="1">
    <w:name w:val="修订1"/>
    <w:hidden/>
    <w:uiPriority w:val="99"/>
    <w:unhideWhenUsed/>
    <w:qFormat/>
    <w:rsid w:val="00C44B72"/>
    <w:rPr>
      <w:rFonts w:ascii="Calibri" w:hAnsi="Calibri"/>
      <w:kern w:val="2"/>
      <w:sz w:val="21"/>
      <w:szCs w:val="22"/>
    </w:rPr>
  </w:style>
  <w:style w:type="paragraph" w:customStyle="1" w:styleId="2">
    <w:name w:val="修订2"/>
    <w:hidden/>
    <w:uiPriority w:val="99"/>
    <w:semiHidden/>
    <w:qFormat/>
    <w:rsid w:val="00C44B72"/>
    <w:rPr>
      <w:rFonts w:ascii="Calibri" w:hAnsi="Calibri"/>
      <w:kern w:val="2"/>
      <w:sz w:val="21"/>
      <w:szCs w:val="22"/>
    </w:rPr>
  </w:style>
  <w:style w:type="paragraph" w:customStyle="1" w:styleId="3">
    <w:name w:val="修订3"/>
    <w:hidden/>
    <w:uiPriority w:val="99"/>
    <w:semiHidden/>
    <w:qFormat/>
    <w:rsid w:val="00C44B72"/>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762AE-B6FC-4041-AC3B-EB8CE8E9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5944</Characters>
  <Application>Microsoft Office Word</Application>
  <DocSecurity>4</DocSecurity>
  <Lines>49</Lines>
  <Paragraphs>13</Paragraphs>
  <ScaleCrop>false</ScaleCrop>
  <Company>CNSTOCK</Company>
  <LinksUpToDate>false</LinksUpToDate>
  <CharactersWithSpaces>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FastReport http://www.fast-report.com</dc:creator>
  <cp:lastModifiedBy>ZHONGM</cp:lastModifiedBy>
  <cp:revision>2</cp:revision>
  <cp:lastPrinted>2021-08-20T02:20:00Z</cp:lastPrinted>
  <dcterms:created xsi:type="dcterms:W3CDTF">2025-12-28T16:01:00Z</dcterms:created>
  <dcterms:modified xsi:type="dcterms:W3CDTF">2025-12-28T16:01:00Z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590FC6FEC68540F39BD74911ADEBC56D</vt:lpwstr>
  </property>
  <property fmtid="{D5CDD505-2E9C-101B-9397-08002B2CF9AE}" pid="4" name="KSOTemplateDocerSaveRecord">
    <vt:lpwstr>eyJoZGlkIjoiYTdiMjg3ZWZkMjk5ZmEzNDM5ZTk5NzQ4OTk0YWYyZWEiLCJ1c2VySWQiOiIxNjU3MzI1MjQ1In0=</vt:lpwstr>
  </property>
</Properties>
</file>