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4B5" w:rsidRDefault="0076676F">
      <w:pPr>
        <w:tabs>
          <w:tab w:val="right" w:leader="dot" w:pos="9080"/>
        </w:tabs>
        <w:jc w:val="center"/>
        <w:rPr>
          <w:rFonts w:ascii="宋体" w:hAnsi="宋体" w:cs="宋体"/>
          <w:b/>
          <w:bCs/>
          <w:sz w:val="28"/>
          <w:szCs w:val="28"/>
        </w:rPr>
      </w:pPr>
      <w:bookmarkStart w:id="0" w:name="_GoBack"/>
      <w:bookmarkEnd w:id="0"/>
      <w:r>
        <w:rPr>
          <w:rFonts w:ascii="宋体" w:hAnsi="宋体" w:cs="宋体" w:hint="eastAsia"/>
          <w:b/>
          <w:bCs/>
          <w:sz w:val="28"/>
          <w:szCs w:val="28"/>
        </w:rPr>
        <w:t>关于申万菱信中证</w:t>
      </w:r>
      <w:r>
        <w:rPr>
          <w:rFonts w:ascii="宋体" w:hAnsi="宋体" w:cs="宋体" w:hint="eastAsia"/>
          <w:b/>
          <w:bCs/>
          <w:sz w:val="28"/>
          <w:szCs w:val="28"/>
        </w:rPr>
        <w:t>A500</w:t>
      </w:r>
      <w:r>
        <w:rPr>
          <w:rFonts w:ascii="宋体" w:hAnsi="宋体" w:cs="宋体" w:hint="eastAsia"/>
          <w:b/>
          <w:bCs/>
          <w:sz w:val="28"/>
          <w:szCs w:val="28"/>
        </w:rPr>
        <w:t>红利低波动指数型证券投资基金开放日常申购、赎回、转换、定期定额投资业务的公告</w:t>
      </w:r>
    </w:p>
    <w:p w:rsidR="00C474B5" w:rsidRDefault="0076676F">
      <w:pPr>
        <w:jc w:val="center"/>
        <w:rPr>
          <w:rFonts w:ascii="宋体" w:hAnsi="宋体"/>
          <w:sz w:val="24"/>
          <w:szCs w:val="24"/>
        </w:rPr>
      </w:pPr>
      <w:r>
        <w:rPr>
          <w:rFonts w:ascii="宋体" w:hAnsi="宋体" w:cs="宋体" w:hint="eastAsia"/>
          <w:sz w:val="24"/>
          <w:szCs w:val="24"/>
        </w:rPr>
        <w:t>公告送出日期</w:t>
      </w:r>
      <w:r>
        <w:rPr>
          <w:rFonts w:ascii="宋体" w:hAnsi="宋体" w:cs="宋体" w:hint="eastAsia"/>
          <w:sz w:val="24"/>
          <w:szCs w:val="24"/>
        </w:rPr>
        <w:t>:</w:t>
      </w:r>
      <w:r>
        <w:rPr>
          <w:rFonts w:ascii="宋体" w:hAnsi="宋体" w:cs="宋体"/>
          <w:sz w:val="24"/>
        </w:rPr>
        <w:t>2025</w:t>
      </w:r>
      <w:r>
        <w:rPr>
          <w:rFonts w:ascii="宋体" w:hAnsi="宋体" w:cs="宋体"/>
          <w:sz w:val="24"/>
        </w:rPr>
        <w:t>年</w:t>
      </w:r>
      <w:r>
        <w:rPr>
          <w:rFonts w:ascii="宋体" w:hAnsi="宋体" w:cs="宋体"/>
          <w:sz w:val="24"/>
        </w:rPr>
        <w:t>12</w:t>
      </w:r>
      <w:r>
        <w:rPr>
          <w:rFonts w:ascii="宋体" w:hAnsi="宋体" w:cs="宋体"/>
          <w:sz w:val="24"/>
        </w:rPr>
        <w:t>月</w:t>
      </w:r>
      <w:r>
        <w:rPr>
          <w:rFonts w:ascii="宋体" w:hAnsi="宋体" w:cs="宋体"/>
          <w:sz w:val="24"/>
        </w:rPr>
        <w:t>29</w:t>
      </w:r>
      <w:r>
        <w:rPr>
          <w:rFonts w:ascii="宋体" w:hAnsi="宋体" w:cs="宋体"/>
          <w:sz w:val="24"/>
        </w:rPr>
        <w:t>日</w:t>
      </w:r>
    </w:p>
    <w:p w:rsidR="00C474B5" w:rsidRDefault="00C474B5"/>
    <w:p w:rsidR="00C474B5" w:rsidRDefault="0076676F">
      <w:pPr>
        <w:pStyle w:val="1"/>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3157"/>
        <w:gridCol w:w="3272"/>
      </w:tblGrid>
      <w:tr w:rsidR="00C474B5">
        <w:tc>
          <w:tcPr>
            <w:tcW w:w="1538" w:type="pct"/>
            <w:vAlign w:val="center"/>
          </w:tcPr>
          <w:p w:rsidR="00C474B5" w:rsidRDefault="0076676F">
            <w:pPr>
              <w:spacing w:line="240" w:lineRule="auto"/>
              <w:jc w:val="left"/>
            </w:pPr>
            <w:r>
              <w:rPr>
                <w:rFonts w:ascii="宋体" w:hAnsi="宋体" w:cs="宋体"/>
              </w:rPr>
              <w:t>基金名称</w:t>
            </w:r>
          </w:p>
        </w:tc>
        <w:tc>
          <w:tcPr>
            <w:tcW w:w="3462" w:type="pct"/>
            <w:gridSpan w:val="2"/>
            <w:vAlign w:val="center"/>
          </w:tcPr>
          <w:p w:rsidR="00C474B5" w:rsidRDefault="0076676F">
            <w:pPr>
              <w:spacing w:line="240" w:lineRule="auto"/>
              <w:jc w:val="left"/>
            </w:pPr>
            <w:r>
              <w:rPr>
                <w:rFonts w:ascii="宋体" w:hAnsi="宋体" w:cs="宋体"/>
              </w:rPr>
              <w:t>申万菱信中证</w:t>
            </w:r>
            <w:r>
              <w:rPr>
                <w:rFonts w:ascii="宋体" w:hAnsi="宋体" w:cs="宋体"/>
              </w:rPr>
              <w:t>A500</w:t>
            </w:r>
            <w:r>
              <w:rPr>
                <w:rFonts w:ascii="宋体" w:hAnsi="宋体" w:cs="宋体"/>
              </w:rPr>
              <w:t>红利低波动指数型证券投资基金</w:t>
            </w:r>
          </w:p>
        </w:tc>
      </w:tr>
      <w:tr w:rsidR="00C474B5">
        <w:tc>
          <w:tcPr>
            <w:tcW w:w="0" w:type="dxa"/>
            <w:vAlign w:val="center"/>
          </w:tcPr>
          <w:p w:rsidR="00C474B5" w:rsidRDefault="0076676F">
            <w:pPr>
              <w:spacing w:line="240" w:lineRule="auto"/>
              <w:jc w:val="left"/>
            </w:pPr>
            <w:r>
              <w:rPr>
                <w:rFonts w:ascii="宋体" w:hAnsi="宋体" w:cs="宋体"/>
              </w:rPr>
              <w:t>基金简称</w:t>
            </w:r>
          </w:p>
        </w:tc>
        <w:tc>
          <w:tcPr>
            <w:tcW w:w="0" w:type="dxa"/>
            <w:gridSpan w:val="2"/>
            <w:vAlign w:val="center"/>
          </w:tcPr>
          <w:p w:rsidR="00C474B5" w:rsidRDefault="0076676F">
            <w:pPr>
              <w:spacing w:line="240" w:lineRule="auto"/>
              <w:jc w:val="left"/>
            </w:pPr>
            <w:r>
              <w:rPr>
                <w:rFonts w:ascii="宋体" w:hAnsi="宋体" w:cs="宋体"/>
              </w:rPr>
              <w:t>申万菱信中证</w:t>
            </w:r>
            <w:r>
              <w:rPr>
                <w:rFonts w:ascii="宋体" w:hAnsi="宋体" w:cs="宋体"/>
              </w:rPr>
              <w:t>A500</w:t>
            </w:r>
            <w:r>
              <w:rPr>
                <w:rFonts w:ascii="宋体" w:hAnsi="宋体" w:cs="宋体"/>
              </w:rPr>
              <w:t>红利低波动指数</w:t>
            </w:r>
          </w:p>
        </w:tc>
      </w:tr>
      <w:tr w:rsidR="00C474B5">
        <w:tc>
          <w:tcPr>
            <w:tcW w:w="0" w:type="dxa"/>
            <w:vAlign w:val="center"/>
          </w:tcPr>
          <w:p w:rsidR="00C474B5" w:rsidRDefault="0076676F">
            <w:pPr>
              <w:spacing w:line="240" w:lineRule="auto"/>
              <w:jc w:val="left"/>
            </w:pPr>
            <w:r>
              <w:rPr>
                <w:rFonts w:ascii="宋体" w:hAnsi="宋体" w:cs="宋体"/>
              </w:rPr>
              <w:t>基金主代码</w:t>
            </w:r>
          </w:p>
        </w:tc>
        <w:tc>
          <w:tcPr>
            <w:tcW w:w="0" w:type="dxa"/>
            <w:gridSpan w:val="2"/>
            <w:vAlign w:val="center"/>
          </w:tcPr>
          <w:p w:rsidR="00C474B5" w:rsidRDefault="0076676F">
            <w:pPr>
              <w:spacing w:line="240" w:lineRule="auto"/>
              <w:jc w:val="left"/>
            </w:pPr>
            <w:r>
              <w:rPr>
                <w:rFonts w:ascii="宋体" w:hAnsi="宋体" w:cs="宋体"/>
              </w:rPr>
              <w:t>025457</w:t>
            </w:r>
          </w:p>
        </w:tc>
      </w:tr>
      <w:tr w:rsidR="00C474B5">
        <w:tc>
          <w:tcPr>
            <w:tcW w:w="0" w:type="dxa"/>
            <w:vAlign w:val="center"/>
          </w:tcPr>
          <w:p w:rsidR="00C474B5" w:rsidRDefault="0076676F">
            <w:pPr>
              <w:spacing w:line="240" w:lineRule="auto"/>
              <w:jc w:val="left"/>
            </w:pPr>
            <w:r>
              <w:rPr>
                <w:rFonts w:ascii="宋体" w:hAnsi="宋体" w:cs="宋体"/>
              </w:rPr>
              <w:t>基金运作方式</w:t>
            </w:r>
          </w:p>
        </w:tc>
        <w:tc>
          <w:tcPr>
            <w:tcW w:w="0" w:type="dxa"/>
            <w:gridSpan w:val="2"/>
            <w:vAlign w:val="center"/>
          </w:tcPr>
          <w:p w:rsidR="00C474B5" w:rsidRDefault="0076676F">
            <w:pPr>
              <w:spacing w:line="240" w:lineRule="auto"/>
              <w:jc w:val="left"/>
            </w:pPr>
            <w:r>
              <w:rPr>
                <w:rFonts w:ascii="宋体" w:hAnsi="宋体" w:cs="宋体"/>
              </w:rPr>
              <w:t>契约型开放式</w:t>
            </w:r>
          </w:p>
        </w:tc>
      </w:tr>
      <w:tr w:rsidR="00C474B5">
        <w:tc>
          <w:tcPr>
            <w:tcW w:w="0" w:type="dxa"/>
            <w:vAlign w:val="center"/>
          </w:tcPr>
          <w:p w:rsidR="00C474B5" w:rsidRDefault="0076676F">
            <w:pPr>
              <w:spacing w:line="240" w:lineRule="auto"/>
              <w:jc w:val="left"/>
            </w:pPr>
            <w:r>
              <w:rPr>
                <w:rFonts w:ascii="宋体" w:hAnsi="宋体" w:cs="宋体"/>
              </w:rPr>
              <w:t>基金合同生效日</w:t>
            </w:r>
          </w:p>
        </w:tc>
        <w:tc>
          <w:tcPr>
            <w:tcW w:w="0" w:type="dxa"/>
            <w:gridSpan w:val="2"/>
            <w:vAlign w:val="center"/>
          </w:tcPr>
          <w:p w:rsidR="00C474B5" w:rsidRDefault="0076676F">
            <w:pPr>
              <w:spacing w:line="240" w:lineRule="auto"/>
              <w:jc w:val="left"/>
            </w:pPr>
            <w:r>
              <w:rPr>
                <w:rFonts w:ascii="宋体" w:hAnsi="宋体" w:cs="宋体"/>
              </w:rPr>
              <w:t>2025</w:t>
            </w:r>
            <w:r>
              <w:rPr>
                <w:rFonts w:ascii="宋体" w:hAnsi="宋体" w:cs="宋体"/>
              </w:rPr>
              <w:t>年</w:t>
            </w:r>
            <w:r>
              <w:rPr>
                <w:rFonts w:ascii="宋体" w:hAnsi="宋体" w:cs="宋体"/>
              </w:rPr>
              <w:t>11</w:t>
            </w:r>
            <w:r>
              <w:rPr>
                <w:rFonts w:ascii="宋体" w:hAnsi="宋体" w:cs="宋体"/>
              </w:rPr>
              <w:t>月</w:t>
            </w:r>
            <w:r>
              <w:rPr>
                <w:rFonts w:ascii="宋体" w:hAnsi="宋体" w:cs="宋体"/>
              </w:rPr>
              <w:t>04</w:t>
            </w:r>
            <w:r>
              <w:rPr>
                <w:rFonts w:ascii="宋体" w:hAnsi="宋体" w:cs="宋体"/>
              </w:rPr>
              <w:t>日</w:t>
            </w:r>
          </w:p>
        </w:tc>
      </w:tr>
      <w:tr w:rsidR="00C474B5">
        <w:tc>
          <w:tcPr>
            <w:tcW w:w="0" w:type="dxa"/>
            <w:vAlign w:val="center"/>
          </w:tcPr>
          <w:p w:rsidR="00C474B5" w:rsidRDefault="0076676F">
            <w:pPr>
              <w:spacing w:line="240" w:lineRule="auto"/>
              <w:jc w:val="left"/>
            </w:pPr>
            <w:r>
              <w:rPr>
                <w:rFonts w:ascii="宋体" w:hAnsi="宋体" w:cs="宋体"/>
              </w:rPr>
              <w:t>基金管理人名称</w:t>
            </w:r>
          </w:p>
        </w:tc>
        <w:tc>
          <w:tcPr>
            <w:tcW w:w="0" w:type="dxa"/>
            <w:gridSpan w:val="2"/>
            <w:vAlign w:val="center"/>
          </w:tcPr>
          <w:p w:rsidR="00C474B5" w:rsidRDefault="0076676F">
            <w:pPr>
              <w:spacing w:line="240" w:lineRule="auto"/>
              <w:jc w:val="left"/>
            </w:pPr>
            <w:r>
              <w:rPr>
                <w:rFonts w:ascii="宋体" w:hAnsi="宋体" w:cs="宋体"/>
              </w:rPr>
              <w:t>申万菱信基金管理有限公司</w:t>
            </w:r>
          </w:p>
        </w:tc>
      </w:tr>
      <w:tr w:rsidR="00C474B5">
        <w:tc>
          <w:tcPr>
            <w:tcW w:w="0" w:type="dxa"/>
            <w:vAlign w:val="center"/>
          </w:tcPr>
          <w:p w:rsidR="00C474B5" w:rsidRDefault="0076676F">
            <w:pPr>
              <w:spacing w:line="240" w:lineRule="auto"/>
              <w:jc w:val="left"/>
            </w:pPr>
            <w:r>
              <w:rPr>
                <w:rFonts w:ascii="宋体" w:hAnsi="宋体" w:cs="宋体"/>
              </w:rPr>
              <w:t>基金托管人名称</w:t>
            </w:r>
          </w:p>
        </w:tc>
        <w:tc>
          <w:tcPr>
            <w:tcW w:w="0" w:type="dxa"/>
            <w:gridSpan w:val="2"/>
            <w:vAlign w:val="center"/>
          </w:tcPr>
          <w:p w:rsidR="00C474B5" w:rsidRDefault="0076676F">
            <w:pPr>
              <w:spacing w:line="240" w:lineRule="auto"/>
              <w:jc w:val="left"/>
            </w:pPr>
            <w:r>
              <w:rPr>
                <w:rFonts w:ascii="宋体" w:hAnsi="宋体" w:cs="宋体"/>
              </w:rPr>
              <w:t>中国工商银行股份有限公司</w:t>
            </w:r>
          </w:p>
        </w:tc>
      </w:tr>
      <w:tr w:rsidR="00C474B5">
        <w:tc>
          <w:tcPr>
            <w:tcW w:w="0" w:type="dxa"/>
            <w:vAlign w:val="center"/>
          </w:tcPr>
          <w:p w:rsidR="00C474B5" w:rsidRDefault="0076676F">
            <w:pPr>
              <w:spacing w:line="240" w:lineRule="auto"/>
              <w:jc w:val="left"/>
            </w:pPr>
            <w:r>
              <w:rPr>
                <w:rFonts w:ascii="宋体" w:hAnsi="宋体" w:cs="宋体"/>
              </w:rPr>
              <w:t>基金注册登记机构名称</w:t>
            </w:r>
          </w:p>
        </w:tc>
        <w:tc>
          <w:tcPr>
            <w:tcW w:w="0" w:type="dxa"/>
            <w:gridSpan w:val="2"/>
            <w:vAlign w:val="center"/>
          </w:tcPr>
          <w:p w:rsidR="00C474B5" w:rsidRDefault="0076676F">
            <w:pPr>
              <w:spacing w:line="240" w:lineRule="auto"/>
              <w:jc w:val="left"/>
            </w:pPr>
            <w:r>
              <w:rPr>
                <w:rFonts w:ascii="宋体" w:hAnsi="宋体" w:cs="宋体"/>
              </w:rPr>
              <w:t>申万菱信基金管理有限公司</w:t>
            </w:r>
          </w:p>
        </w:tc>
      </w:tr>
      <w:tr w:rsidR="00C474B5">
        <w:tc>
          <w:tcPr>
            <w:tcW w:w="0" w:type="dxa"/>
            <w:vAlign w:val="center"/>
          </w:tcPr>
          <w:p w:rsidR="00C474B5" w:rsidRDefault="0076676F">
            <w:pPr>
              <w:spacing w:line="240" w:lineRule="auto"/>
              <w:jc w:val="left"/>
            </w:pPr>
            <w:r>
              <w:rPr>
                <w:rFonts w:ascii="宋体" w:hAnsi="宋体" w:cs="宋体"/>
              </w:rPr>
              <w:t>公告依据</w:t>
            </w:r>
          </w:p>
        </w:tc>
        <w:tc>
          <w:tcPr>
            <w:tcW w:w="0" w:type="dxa"/>
            <w:gridSpan w:val="2"/>
            <w:vAlign w:val="center"/>
          </w:tcPr>
          <w:p w:rsidR="00C474B5" w:rsidRDefault="0076676F">
            <w:pPr>
              <w:spacing w:line="240" w:lineRule="auto"/>
              <w:jc w:val="left"/>
            </w:pPr>
            <w:r>
              <w:rPr>
                <w:rFonts w:ascii="宋体" w:hAnsi="宋体" w:cs="宋体"/>
              </w:rPr>
              <w:t>《公开募集证券投资基金信息披露管理办法》《申万菱信中证</w:t>
            </w:r>
            <w:r>
              <w:rPr>
                <w:rFonts w:ascii="宋体" w:hAnsi="宋体" w:cs="宋体"/>
              </w:rPr>
              <w:t>A500</w:t>
            </w:r>
            <w:r>
              <w:rPr>
                <w:rFonts w:ascii="宋体" w:hAnsi="宋体" w:cs="宋体"/>
              </w:rPr>
              <w:t>红利低波动指数型证券投资基金基金合同》《申万菱信中证</w:t>
            </w:r>
            <w:r>
              <w:rPr>
                <w:rFonts w:ascii="宋体" w:hAnsi="宋体" w:cs="宋体"/>
              </w:rPr>
              <w:t>A500</w:t>
            </w:r>
            <w:r>
              <w:rPr>
                <w:rFonts w:ascii="宋体" w:hAnsi="宋体" w:cs="宋体"/>
              </w:rPr>
              <w:t>红利低波动指数型证券投资基金招募说明书》</w:t>
            </w:r>
          </w:p>
        </w:tc>
      </w:tr>
      <w:tr w:rsidR="00C474B5">
        <w:tc>
          <w:tcPr>
            <w:tcW w:w="0" w:type="dxa"/>
            <w:vAlign w:val="center"/>
          </w:tcPr>
          <w:p w:rsidR="00C474B5" w:rsidRDefault="0076676F">
            <w:pPr>
              <w:spacing w:line="240" w:lineRule="auto"/>
              <w:jc w:val="left"/>
            </w:pPr>
            <w:r>
              <w:rPr>
                <w:rFonts w:ascii="宋体" w:hAnsi="宋体" w:cs="宋体"/>
              </w:rPr>
              <w:t>申购起始日</w:t>
            </w:r>
          </w:p>
        </w:tc>
        <w:tc>
          <w:tcPr>
            <w:tcW w:w="0" w:type="dxa"/>
            <w:gridSpan w:val="2"/>
            <w:vAlign w:val="center"/>
          </w:tcPr>
          <w:p w:rsidR="00C474B5" w:rsidRDefault="0076676F">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05</w:t>
            </w:r>
            <w:r>
              <w:rPr>
                <w:rFonts w:ascii="宋体" w:hAnsi="宋体" w:cs="宋体"/>
              </w:rPr>
              <w:t>日</w:t>
            </w:r>
          </w:p>
        </w:tc>
      </w:tr>
      <w:tr w:rsidR="00C474B5">
        <w:tc>
          <w:tcPr>
            <w:tcW w:w="0" w:type="dxa"/>
            <w:vAlign w:val="center"/>
          </w:tcPr>
          <w:p w:rsidR="00C474B5" w:rsidRDefault="0076676F">
            <w:pPr>
              <w:spacing w:line="240" w:lineRule="auto"/>
              <w:jc w:val="left"/>
            </w:pPr>
            <w:r>
              <w:rPr>
                <w:rFonts w:ascii="宋体" w:hAnsi="宋体" w:cs="宋体"/>
              </w:rPr>
              <w:t>赎回起始日</w:t>
            </w:r>
          </w:p>
        </w:tc>
        <w:tc>
          <w:tcPr>
            <w:tcW w:w="0" w:type="dxa"/>
            <w:gridSpan w:val="2"/>
            <w:vAlign w:val="center"/>
          </w:tcPr>
          <w:p w:rsidR="00C474B5" w:rsidRDefault="0076676F">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05</w:t>
            </w:r>
            <w:r>
              <w:rPr>
                <w:rFonts w:ascii="宋体" w:hAnsi="宋体" w:cs="宋体"/>
              </w:rPr>
              <w:t>日</w:t>
            </w:r>
          </w:p>
        </w:tc>
      </w:tr>
      <w:tr w:rsidR="00C474B5">
        <w:tc>
          <w:tcPr>
            <w:tcW w:w="0" w:type="dxa"/>
            <w:vAlign w:val="center"/>
          </w:tcPr>
          <w:p w:rsidR="00C474B5" w:rsidRDefault="0076676F">
            <w:pPr>
              <w:spacing w:line="240" w:lineRule="auto"/>
              <w:jc w:val="left"/>
            </w:pPr>
            <w:r>
              <w:rPr>
                <w:rFonts w:ascii="宋体" w:hAnsi="宋体" w:cs="宋体"/>
              </w:rPr>
              <w:t>转换转入起始日</w:t>
            </w:r>
          </w:p>
        </w:tc>
        <w:tc>
          <w:tcPr>
            <w:tcW w:w="0" w:type="dxa"/>
            <w:gridSpan w:val="2"/>
            <w:vAlign w:val="center"/>
          </w:tcPr>
          <w:p w:rsidR="00C474B5" w:rsidRDefault="0076676F">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05</w:t>
            </w:r>
            <w:r>
              <w:rPr>
                <w:rFonts w:ascii="宋体" w:hAnsi="宋体" w:cs="宋体"/>
              </w:rPr>
              <w:t>日</w:t>
            </w:r>
          </w:p>
        </w:tc>
      </w:tr>
      <w:tr w:rsidR="00C474B5">
        <w:tc>
          <w:tcPr>
            <w:tcW w:w="0" w:type="dxa"/>
            <w:vAlign w:val="center"/>
          </w:tcPr>
          <w:p w:rsidR="00C474B5" w:rsidRDefault="0076676F">
            <w:pPr>
              <w:spacing w:line="240" w:lineRule="auto"/>
              <w:jc w:val="left"/>
            </w:pPr>
            <w:r>
              <w:rPr>
                <w:rFonts w:ascii="宋体" w:hAnsi="宋体" w:cs="宋体"/>
              </w:rPr>
              <w:t>转换转出起始日</w:t>
            </w:r>
          </w:p>
        </w:tc>
        <w:tc>
          <w:tcPr>
            <w:tcW w:w="0" w:type="dxa"/>
            <w:gridSpan w:val="2"/>
            <w:vAlign w:val="center"/>
          </w:tcPr>
          <w:p w:rsidR="00C474B5" w:rsidRDefault="0076676F">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05</w:t>
            </w:r>
            <w:r>
              <w:rPr>
                <w:rFonts w:ascii="宋体" w:hAnsi="宋体" w:cs="宋体"/>
              </w:rPr>
              <w:t>日</w:t>
            </w:r>
          </w:p>
        </w:tc>
      </w:tr>
      <w:tr w:rsidR="00C474B5">
        <w:tc>
          <w:tcPr>
            <w:tcW w:w="0" w:type="dxa"/>
            <w:vAlign w:val="center"/>
          </w:tcPr>
          <w:p w:rsidR="00C474B5" w:rsidRDefault="0076676F">
            <w:pPr>
              <w:spacing w:line="240" w:lineRule="auto"/>
              <w:jc w:val="left"/>
            </w:pPr>
            <w:r>
              <w:rPr>
                <w:rFonts w:ascii="宋体" w:hAnsi="宋体" w:cs="宋体"/>
              </w:rPr>
              <w:t>定期定额投资起始日</w:t>
            </w:r>
          </w:p>
        </w:tc>
        <w:tc>
          <w:tcPr>
            <w:tcW w:w="0" w:type="dxa"/>
            <w:gridSpan w:val="2"/>
            <w:vAlign w:val="center"/>
          </w:tcPr>
          <w:p w:rsidR="00C474B5" w:rsidRDefault="0076676F">
            <w:pPr>
              <w:spacing w:line="240" w:lineRule="auto"/>
              <w:jc w:val="left"/>
            </w:pPr>
            <w:r>
              <w:rPr>
                <w:rFonts w:ascii="宋体" w:hAnsi="宋体" w:cs="宋体"/>
              </w:rPr>
              <w:t>2026</w:t>
            </w:r>
            <w:r>
              <w:rPr>
                <w:rFonts w:ascii="宋体" w:hAnsi="宋体" w:cs="宋体"/>
              </w:rPr>
              <w:t>年</w:t>
            </w:r>
            <w:r>
              <w:rPr>
                <w:rFonts w:ascii="宋体" w:hAnsi="宋体" w:cs="宋体"/>
              </w:rPr>
              <w:t>01</w:t>
            </w:r>
            <w:r>
              <w:rPr>
                <w:rFonts w:ascii="宋体" w:hAnsi="宋体" w:cs="宋体"/>
              </w:rPr>
              <w:t>月</w:t>
            </w:r>
            <w:r>
              <w:rPr>
                <w:rFonts w:ascii="宋体" w:hAnsi="宋体" w:cs="宋体"/>
              </w:rPr>
              <w:t>05</w:t>
            </w:r>
            <w:r>
              <w:rPr>
                <w:rFonts w:ascii="宋体" w:hAnsi="宋体" w:cs="宋体"/>
              </w:rPr>
              <w:t>日</w:t>
            </w:r>
          </w:p>
        </w:tc>
      </w:tr>
      <w:tr w:rsidR="00C474B5">
        <w:tc>
          <w:tcPr>
            <w:tcW w:w="1538" w:type="pct"/>
            <w:vAlign w:val="center"/>
          </w:tcPr>
          <w:p w:rsidR="00C474B5" w:rsidRDefault="0076676F">
            <w:pPr>
              <w:spacing w:line="240" w:lineRule="auto"/>
              <w:jc w:val="left"/>
            </w:pPr>
            <w:r>
              <w:rPr>
                <w:rFonts w:ascii="宋体" w:hAnsi="宋体" w:cs="宋体"/>
              </w:rPr>
              <w:t>下属分级基金的基金简称</w:t>
            </w:r>
          </w:p>
        </w:tc>
        <w:tc>
          <w:tcPr>
            <w:tcW w:w="1700" w:type="pct"/>
            <w:vAlign w:val="center"/>
          </w:tcPr>
          <w:p w:rsidR="00C474B5" w:rsidRDefault="0076676F">
            <w:pPr>
              <w:spacing w:line="240" w:lineRule="auto"/>
              <w:jc w:val="left"/>
            </w:pPr>
            <w:r>
              <w:rPr>
                <w:rFonts w:ascii="宋体" w:hAnsi="宋体" w:cs="宋体"/>
              </w:rPr>
              <w:t>申万菱信中证</w:t>
            </w:r>
            <w:r>
              <w:rPr>
                <w:rFonts w:ascii="宋体" w:hAnsi="宋体" w:cs="宋体"/>
              </w:rPr>
              <w:t>A500</w:t>
            </w:r>
            <w:r>
              <w:rPr>
                <w:rFonts w:ascii="宋体" w:hAnsi="宋体" w:cs="宋体"/>
              </w:rPr>
              <w:t>红利低波动指数</w:t>
            </w:r>
            <w:r>
              <w:rPr>
                <w:rFonts w:ascii="宋体" w:hAnsi="宋体" w:cs="宋体"/>
              </w:rPr>
              <w:t>A</w:t>
            </w:r>
          </w:p>
        </w:tc>
        <w:tc>
          <w:tcPr>
            <w:tcW w:w="1700" w:type="pct"/>
            <w:vAlign w:val="center"/>
          </w:tcPr>
          <w:p w:rsidR="00C474B5" w:rsidRDefault="0076676F">
            <w:pPr>
              <w:spacing w:line="240" w:lineRule="auto"/>
              <w:jc w:val="left"/>
            </w:pPr>
            <w:r>
              <w:rPr>
                <w:rFonts w:ascii="宋体" w:hAnsi="宋体" w:cs="宋体"/>
              </w:rPr>
              <w:t>申万菱信中证</w:t>
            </w:r>
            <w:r>
              <w:rPr>
                <w:rFonts w:ascii="宋体" w:hAnsi="宋体" w:cs="宋体"/>
              </w:rPr>
              <w:t>A500</w:t>
            </w:r>
            <w:r>
              <w:rPr>
                <w:rFonts w:ascii="宋体" w:hAnsi="宋体" w:cs="宋体"/>
              </w:rPr>
              <w:t>红利低波动指数</w:t>
            </w:r>
            <w:r>
              <w:rPr>
                <w:rFonts w:ascii="宋体" w:hAnsi="宋体" w:cs="宋体"/>
              </w:rPr>
              <w:t>C</w:t>
            </w:r>
          </w:p>
        </w:tc>
      </w:tr>
      <w:tr w:rsidR="00C474B5">
        <w:tc>
          <w:tcPr>
            <w:tcW w:w="0" w:type="dxa"/>
            <w:vAlign w:val="center"/>
          </w:tcPr>
          <w:p w:rsidR="00C474B5" w:rsidRDefault="0076676F">
            <w:pPr>
              <w:spacing w:line="240" w:lineRule="auto"/>
              <w:jc w:val="left"/>
            </w:pPr>
            <w:r>
              <w:rPr>
                <w:rFonts w:ascii="宋体" w:hAnsi="宋体" w:cs="宋体"/>
              </w:rPr>
              <w:t>下属分级基金的交易代码</w:t>
            </w:r>
          </w:p>
        </w:tc>
        <w:tc>
          <w:tcPr>
            <w:tcW w:w="1700" w:type="pct"/>
            <w:vAlign w:val="center"/>
          </w:tcPr>
          <w:p w:rsidR="00C474B5" w:rsidRDefault="0076676F">
            <w:pPr>
              <w:spacing w:line="240" w:lineRule="auto"/>
              <w:jc w:val="left"/>
            </w:pPr>
            <w:r>
              <w:rPr>
                <w:rFonts w:ascii="宋体" w:hAnsi="宋体" w:cs="宋体"/>
              </w:rPr>
              <w:t>025457</w:t>
            </w:r>
          </w:p>
        </w:tc>
        <w:tc>
          <w:tcPr>
            <w:tcW w:w="1700" w:type="pct"/>
            <w:vAlign w:val="center"/>
          </w:tcPr>
          <w:p w:rsidR="00C474B5" w:rsidRDefault="0076676F">
            <w:pPr>
              <w:spacing w:line="240" w:lineRule="auto"/>
              <w:jc w:val="left"/>
            </w:pPr>
            <w:r>
              <w:rPr>
                <w:rFonts w:ascii="宋体" w:hAnsi="宋体" w:cs="宋体"/>
              </w:rPr>
              <w:t>025458</w:t>
            </w:r>
          </w:p>
        </w:tc>
      </w:tr>
      <w:tr w:rsidR="00C474B5">
        <w:tc>
          <w:tcPr>
            <w:tcW w:w="0" w:type="dxa"/>
            <w:vAlign w:val="center"/>
          </w:tcPr>
          <w:p w:rsidR="00C474B5" w:rsidRDefault="0076676F">
            <w:pPr>
              <w:spacing w:line="240" w:lineRule="auto"/>
              <w:jc w:val="left"/>
            </w:pPr>
            <w:r>
              <w:rPr>
                <w:rFonts w:ascii="宋体" w:hAnsi="宋体" w:cs="宋体"/>
              </w:rPr>
              <w:t>该分级基金是否开放申购、赎回（转换、定期定额投资）</w:t>
            </w:r>
          </w:p>
        </w:tc>
        <w:tc>
          <w:tcPr>
            <w:tcW w:w="1700" w:type="pct"/>
            <w:vAlign w:val="center"/>
          </w:tcPr>
          <w:p w:rsidR="00C474B5" w:rsidRDefault="0076676F">
            <w:pPr>
              <w:spacing w:line="240" w:lineRule="auto"/>
              <w:jc w:val="left"/>
            </w:pPr>
            <w:r>
              <w:rPr>
                <w:rFonts w:ascii="宋体" w:hAnsi="宋体" w:cs="宋体"/>
              </w:rPr>
              <w:t>是</w:t>
            </w:r>
          </w:p>
        </w:tc>
        <w:tc>
          <w:tcPr>
            <w:tcW w:w="1700" w:type="pct"/>
            <w:vAlign w:val="center"/>
          </w:tcPr>
          <w:p w:rsidR="00C474B5" w:rsidRDefault="0076676F">
            <w:pPr>
              <w:spacing w:line="240" w:lineRule="auto"/>
              <w:jc w:val="left"/>
            </w:pPr>
            <w:r>
              <w:rPr>
                <w:rFonts w:ascii="宋体" w:hAnsi="宋体" w:cs="宋体"/>
              </w:rPr>
              <w:t>是</w:t>
            </w:r>
          </w:p>
        </w:tc>
      </w:tr>
    </w:tbl>
    <w:p w:rsidR="00C474B5" w:rsidRDefault="0076676F">
      <w:pPr>
        <w:jc w:val="left"/>
      </w:pPr>
      <w:r>
        <w:rPr>
          <w:rFonts w:ascii="宋体" w:hAnsi="宋体" w:cs="宋体"/>
        </w:rPr>
        <w:t xml:space="preserve">    </w:t>
      </w:r>
      <w:r>
        <w:rPr>
          <w:rFonts w:ascii="宋体" w:hAnsi="宋体" w:cs="宋体"/>
        </w:rPr>
        <w:t>注：</w:t>
      </w:r>
      <w:r>
        <w:rPr>
          <w:rFonts w:ascii="宋体" w:hAnsi="宋体" w:cs="宋体"/>
        </w:rPr>
        <w:t>1</w:t>
      </w:r>
      <w:r>
        <w:rPr>
          <w:rFonts w:ascii="宋体" w:hAnsi="宋体" w:cs="宋体"/>
        </w:rPr>
        <w:t>、申万菱信中证</w:t>
      </w:r>
      <w:r>
        <w:rPr>
          <w:rFonts w:ascii="宋体" w:hAnsi="宋体" w:cs="宋体"/>
        </w:rPr>
        <w:t>A500</w:t>
      </w:r>
      <w:r>
        <w:rPr>
          <w:rFonts w:ascii="宋体" w:hAnsi="宋体" w:cs="宋体"/>
        </w:rPr>
        <w:t>红利低波动指数型证券投资基金简称</w:t>
      </w:r>
      <w:r>
        <w:rPr>
          <w:rFonts w:ascii="宋体" w:hAnsi="宋体" w:cs="宋体"/>
        </w:rPr>
        <w:t>“</w:t>
      </w:r>
      <w:r>
        <w:rPr>
          <w:rFonts w:ascii="宋体" w:hAnsi="宋体" w:cs="宋体"/>
        </w:rPr>
        <w:t>本基金</w:t>
      </w:r>
      <w:r>
        <w:rPr>
          <w:rFonts w:ascii="宋体" w:hAnsi="宋体" w:cs="宋体"/>
        </w:rPr>
        <w:t>”</w:t>
      </w:r>
      <w:r>
        <w:rPr>
          <w:rFonts w:ascii="宋体" w:hAnsi="宋体" w:cs="宋体"/>
        </w:rPr>
        <w:t>；</w:t>
      </w:r>
      <w:r>
        <w:rPr>
          <w:rFonts w:ascii="宋体" w:hAnsi="宋体" w:cs="宋体"/>
        </w:rPr>
        <w:cr/>
        <w:t xml:space="preserve">    2</w:t>
      </w:r>
      <w:r>
        <w:rPr>
          <w:rFonts w:ascii="宋体" w:hAnsi="宋体" w:cs="宋体"/>
        </w:rPr>
        <w:t>、申万菱信基金管理有限公司简称</w:t>
      </w:r>
      <w:r>
        <w:rPr>
          <w:rFonts w:ascii="宋体" w:hAnsi="宋体" w:cs="宋体"/>
        </w:rPr>
        <w:t>“</w:t>
      </w:r>
      <w:r>
        <w:rPr>
          <w:rFonts w:ascii="宋体" w:hAnsi="宋体" w:cs="宋体"/>
        </w:rPr>
        <w:t>本公司</w:t>
      </w:r>
      <w:r>
        <w:rPr>
          <w:rFonts w:ascii="宋体" w:hAnsi="宋体" w:cs="宋体"/>
        </w:rPr>
        <w:t>”</w:t>
      </w:r>
      <w:r>
        <w:rPr>
          <w:rFonts w:ascii="宋体" w:hAnsi="宋体" w:cs="宋体"/>
        </w:rPr>
        <w:t>或</w:t>
      </w:r>
      <w:r>
        <w:rPr>
          <w:rFonts w:ascii="宋体" w:hAnsi="宋体" w:cs="宋体"/>
        </w:rPr>
        <w:t>“</w:t>
      </w:r>
      <w:r>
        <w:rPr>
          <w:rFonts w:ascii="宋体" w:hAnsi="宋体" w:cs="宋体"/>
        </w:rPr>
        <w:t>基金管理人</w:t>
      </w:r>
      <w:r>
        <w:rPr>
          <w:rFonts w:ascii="宋体" w:hAnsi="宋体" w:cs="宋体"/>
        </w:rPr>
        <w:t>”</w:t>
      </w:r>
      <w:r>
        <w:rPr>
          <w:rFonts w:ascii="宋体" w:hAnsi="宋体" w:cs="宋体"/>
        </w:rPr>
        <w:t>。</w:t>
      </w:r>
    </w:p>
    <w:p w:rsidR="00C474B5" w:rsidRDefault="0076676F">
      <w:pPr>
        <w:pStyle w:val="1"/>
      </w:pPr>
      <w:r>
        <w:rPr>
          <w:rFonts w:ascii="宋体" w:hAnsi="宋体" w:cs="宋体"/>
        </w:rPr>
        <w:t xml:space="preserve">2 </w:t>
      </w:r>
      <w:r>
        <w:rPr>
          <w:rFonts w:ascii="宋体" w:hAnsi="宋体" w:cs="宋体"/>
        </w:rPr>
        <w:t>日常申购、赎回（转换、定期定额投资）业务的办理时间</w:t>
      </w:r>
    </w:p>
    <w:p w:rsidR="00C474B5" w:rsidRDefault="0076676F">
      <w:pPr>
        <w:jc w:val="left"/>
      </w:pPr>
      <w:r>
        <w:rPr>
          <w:rFonts w:ascii="宋体" w:hAnsi="宋体" w:cs="宋体"/>
        </w:rPr>
        <w:t xml:space="preserve">    </w:t>
      </w:r>
      <w:r>
        <w:rPr>
          <w:rFonts w:ascii="宋体" w:hAnsi="宋体" w:cs="宋体"/>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r>
        <w:rPr>
          <w:rFonts w:ascii="宋体" w:hAnsi="宋体" w:cs="宋体"/>
        </w:rPr>
        <w:cr/>
      </w:r>
      <w:r>
        <w:rPr>
          <w:rFonts w:ascii="宋体" w:hAnsi="宋体" w:cs="宋体"/>
        </w:rPr>
        <w:t xml:space="preserve">    </w:t>
      </w:r>
      <w:r>
        <w:rPr>
          <w:rFonts w:ascii="宋体" w:hAnsi="宋体" w:cs="宋体"/>
        </w:rPr>
        <w:t>基金合同生效后，若出现新的证券交易市场或期货交易市场、证券交易所或期货交易所交易时间变更、其他特殊情况或根据业务需要，基金管理人将视情况对前述开放日及开放时间进行相应的调整，但应在实施日前依照《公开募集证券投资基金信息披露管理办法》（以下简称《信息披露办法》）的有关规定在规定媒介上公告，具体时间以基金管理人届时公告为准。</w:t>
      </w:r>
    </w:p>
    <w:p w:rsidR="00C474B5" w:rsidRDefault="0076676F">
      <w:pPr>
        <w:pStyle w:val="1"/>
      </w:pPr>
      <w:r>
        <w:rPr>
          <w:rFonts w:ascii="宋体" w:hAnsi="宋体" w:cs="宋体"/>
        </w:rPr>
        <w:t xml:space="preserve">3 </w:t>
      </w:r>
      <w:r>
        <w:rPr>
          <w:rFonts w:ascii="宋体" w:hAnsi="宋体" w:cs="宋体"/>
        </w:rPr>
        <w:t>日常申购业务</w:t>
      </w:r>
    </w:p>
    <w:p w:rsidR="00C474B5" w:rsidRDefault="00C474B5"/>
    <w:p w:rsidR="00C474B5" w:rsidRDefault="0076676F">
      <w:pPr>
        <w:pStyle w:val="2"/>
      </w:pPr>
      <w:r>
        <w:rPr>
          <w:rFonts w:ascii="宋体" w:hAnsi="宋体" w:cs="宋体"/>
        </w:rPr>
        <w:t xml:space="preserve">3.1 </w:t>
      </w:r>
      <w:r>
        <w:rPr>
          <w:rFonts w:ascii="宋体" w:hAnsi="宋体" w:cs="宋体"/>
        </w:rPr>
        <w:t>申购金额限制</w:t>
      </w:r>
    </w:p>
    <w:p w:rsidR="00C474B5" w:rsidRDefault="0076676F">
      <w:pPr>
        <w:jc w:val="left"/>
      </w:pPr>
      <w:r>
        <w:rPr>
          <w:rFonts w:ascii="宋体" w:hAnsi="宋体" w:cs="宋体"/>
        </w:rPr>
        <w:t xml:space="preserve">    </w:t>
      </w:r>
      <w:r>
        <w:rPr>
          <w:rFonts w:ascii="宋体" w:hAnsi="宋体" w:cs="宋体"/>
        </w:rPr>
        <w:t>投资人在其他销售机构办理基金份额申购时，首次申购单笔最低金额为</w:t>
      </w:r>
      <w:r>
        <w:rPr>
          <w:rFonts w:ascii="宋体" w:hAnsi="宋体" w:cs="宋体"/>
        </w:rPr>
        <w:t>1</w:t>
      </w:r>
      <w:r>
        <w:rPr>
          <w:rFonts w:ascii="宋体" w:hAnsi="宋体" w:cs="宋体"/>
        </w:rPr>
        <w:t>元人民币（含申购费，下同），追加申购单笔最低金额为</w:t>
      </w:r>
      <w:r>
        <w:rPr>
          <w:rFonts w:ascii="宋体" w:hAnsi="宋体" w:cs="宋体"/>
        </w:rPr>
        <w:t>1</w:t>
      </w:r>
      <w:r>
        <w:rPr>
          <w:rFonts w:ascii="宋体" w:hAnsi="宋体" w:cs="宋体"/>
        </w:rPr>
        <w:t>元人民币。通过</w:t>
      </w:r>
      <w:r>
        <w:rPr>
          <w:rFonts w:ascii="宋体" w:hAnsi="宋体" w:cs="宋体"/>
        </w:rPr>
        <w:t>直销中心首次申购单笔最低金额为</w:t>
      </w:r>
      <w:r>
        <w:rPr>
          <w:rFonts w:ascii="宋体" w:hAnsi="宋体" w:cs="宋体"/>
        </w:rPr>
        <w:t>10</w:t>
      </w:r>
      <w:r>
        <w:rPr>
          <w:rFonts w:ascii="宋体" w:hAnsi="宋体" w:cs="宋体"/>
        </w:rPr>
        <w:t>元人民币，追加申购单笔最低金额为</w:t>
      </w:r>
      <w:r>
        <w:rPr>
          <w:rFonts w:ascii="宋体" w:hAnsi="宋体" w:cs="宋体"/>
        </w:rPr>
        <w:t>10</w:t>
      </w:r>
      <w:r>
        <w:rPr>
          <w:rFonts w:ascii="宋体" w:hAnsi="宋体" w:cs="宋体"/>
        </w:rPr>
        <w:t>元人民币。本基金直销中心单笔申购最低金额可由基金管理人酌情调整。</w:t>
      </w:r>
      <w:r>
        <w:rPr>
          <w:rFonts w:ascii="宋体" w:hAnsi="宋体" w:cs="宋体"/>
        </w:rPr>
        <w:cr/>
        <w:t xml:space="preserve">    </w:t>
      </w:r>
      <w:r>
        <w:rPr>
          <w:rFonts w:ascii="宋体" w:hAnsi="宋体" w:cs="宋体"/>
        </w:rPr>
        <w:t>投资人将当期分配的基金收益转购相应类别的基金份额或采用定期定额投资计划时，不受最低申购金额的限制。</w:t>
      </w:r>
      <w:r>
        <w:rPr>
          <w:rFonts w:ascii="宋体" w:hAnsi="宋体" w:cs="宋体"/>
        </w:rPr>
        <w:cr/>
        <w:t xml:space="preserve">    </w:t>
      </w:r>
      <w:r>
        <w:rPr>
          <w:rFonts w:ascii="宋体" w:hAnsi="宋体" w:cs="宋体"/>
        </w:rPr>
        <w:t>其他销售机构的销售网点的投资人欲转入直销网点进行交易要受直销网点最低金额的限制。基金管理人可根据市场情况，调整首次申购和追加申购的最低金额。</w:t>
      </w:r>
      <w:r>
        <w:rPr>
          <w:rFonts w:ascii="宋体" w:hAnsi="宋体" w:cs="宋体"/>
        </w:rPr>
        <w:cr/>
        <w:t xml:space="preserve">    </w:t>
      </w:r>
      <w:r>
        <w:rPr>
          <w:rFonts w:ascii="宋体" w:hAnsi="宋体" w:cs="宋体"/>
        </w:rPr>
        <w:t>投资人可多次申购，对单个投资人累计持有份额不设上限限制，但单一投资者持有基金份额数不得达到或超过基金份额总数的</w:t>
      </w:r>
      <w:r>
        <w:rPr>
          <w:rFonts w:ascii="宋体" w:hAnsi="宋体" w:cs="宋体"/>
        </w:rPr>
        <w:t>50%</w:t>
      </w:r>
      <w:r>
        <w:rPr>
          <w:rFonts w:ascii="宋体" w:hAnsi="宋体" w:cs="宋体"/>
        </w:rPr>
        <w:t>（在基金运作过程中因基金份额赎回等基金管理人无法予以控制的情形导致被动达到或超过</w:t>
      </w:r>
      <w:r>
        <w:rPr>
          <w:rFonts w:ascii="宋体" w:hAnsi="宋体" w:cs="宋体"/>
        </w:rPr>
        <w:t>50%</w:t>
      </w:r>
      <w:r>
        <w:rPr>
          <w:rFonts w:ascii="宋体" w:hAnsi="宋体" w:cs="宋体"/>
        </w:rPr>
        <w:t>的情形除外）。法律法规或监管机构另有规定的，从其规定。</w:t>
      </w:r>
      <w:r>
        <w:rPr>
          <w:rFonts w:ascii="宋体" w:hAnsi="宋体" w:cs="宋体"/>
        </w:rPr>
        <w:cr/>
        <w:t xml:space="preserve">    </w:t>
      </w:r>
      <w:r>
        <w:rPr>
          <w:rFonts w:ascii="宋体" w:hAnsi="宋体" w:cs="宋体"/>
        </w:rPr>
        <w:t>基金管理人可根据市场情况，在法律法规允许的情况下，调整上述规定申购金额限制，或新增基金规模控制措施。基金管理人必须在调整实施前依照《信息披露办法》的有关规定在规定媒介上公告。</w:t>
      </w:r>
    </w:p>
    <w:p w:rsidR="00C474B5" w:rsidRDefault="00C474B5"/>
    <w:p w:rsidR="00C474B5" w:rsidRDefault="0076676F">
      <w:pPr>
        <w:pStyle w:val="2"/>
      </w:pPr>
      <w:r>
        <w:rPr>
          <w:rFonts w:ascii="宋体" w:hAnsi="宋体" w:cs="宋体"/>
        </w:rPr>
        <w:t xml:space="preserve">3.2 </w:t>
      </w:r>
      <w:r>
        <w:rPr>
          <w:rFonts w:ascii="宋体" w:hAnsi="宋体" w:cs="宋体"/>
        </w:rPr>
        <w:t>申购费率</w:t>
      </w:r>
    </w:p>
    <w:p w:rsidR="00C474B5" w:rsidRDefault="0076676F">
      <w:pPr>
        <w:ind w:firstLine="480"/>
      </w:pPr>
      <w:r>
        <w:rPr>
          <w:rFonts w:ascii="宋体" w:hAnsi="宋体" w:cs="宋体"/>
        </w:rPr>
        <w:t xml:space="preserve"> </w:t>
      </w:r>
      <w:r>
        <w:rPr>
          <w:rFonts w:ascii="宋体" w:hAnsi="宋体" w:cs="宋体" w:hint="eastAsia"/>
        </w:rPr>
        <w:t>（</w:t>
      </w:r>
      <w:r>
        <w:rPr>
          <w:rFonts w:ascii="宋体" w:hAnsi="宋体" w:cs="宋体" w:hint="eastAsia"/>
        </w:rPr>
        <w:t>1</w:t>
      </w:r>
      <w:r>
        <w:rPr>
          <w:rFonts w:ascii="宋体" w:hAnsi="宋体" w:cs="宋体" w:hint="eastAsia"/>
        </w:rPr>
        <w:t>）本基金</w:t>
      </w:r>
      <w:r>
        <w:rPr>
          <w:rFonts w:ascii="宋体" w:hAnsi="宋体" w:cs="宋体" w:hint="eastAsia"/>
        </w:rPr>
        <w:t>A</w:t>
      </w:r>
      <w:r>
        <w:rPr>
          <w:rFonts w:ascii="宋体" w:hAnsi="宋体" w:cs="宋体" w:hint="eastAsia"/>
        </w:rPr>
        <w:t>类基金份额</w:t>
      </w:r>
      <w:r>
        <w:rPr>
          <w:rFonts w:ascii="宋体" w:hAnsi="宋体" w:cs="宋体"/>
        </w:rPr>
        <w:t>的申购费率</w:t>
      </w:r>
      <w:r>
        <w:rPr>
          <w:rFonts w:ascii="宋体" w:hAnsi="宋体" w:cs="宋体" w:hint="eastAsia"/>
        </w:rPr>
        <w:t>如下表</w:t>
      </w:r>
      <w:r>
        <w:rPr>
          <w:rFonts w:hint="eastAsia"/>
        </w:rPr>
        <w:t>：</w:t>
      </w:r>
    </w:p>
    <w:tbl>
      <w:tblPr>
        <w:tblW w:w="4845" w:type="pct"/>
        <w:jc w:val="center"/>
        <w:tblBorders>
          <w:top w:val="single" w:sz="12" w:space="0" w:color="0000FF"/>
          <w:bottom w:val="single" w:sz="12" w:space="0" w:color="0000FF"/>
          <w:insideH w:val="single" w:sz="6" w:space="0" w:color="0000FF"/>
        </w:tblBorders>
        <w:tblCellMar>
          <w:left w:w="0" w:type="dxa"/>
          <w:right w:w="0" w:type="dxa"/>
        </w:tblCellMar>
        <w:tblLook w:val="04A0"/>
      </w:tblPr>
      <w:tblGrid>
        <w:gridCol w:w="4540"/>
        <w:gridCol w:w="2649"/>
        <w:gridCol w:w="1809"/>
      </w:tblGrid>
      <w:tr w:rsidR="00C474B5">
        <w:trPr>
          <w:jc w:val="center"/>
        </w:trPr>
        <w:tc>
          <w:tcPr>
            <w:tcW w:w="2523" w:type="pct"/>
            <w:tcMar>
              <w:top w:w="0" w:type="dxa"/>
              <w:left w:w="108" w:type="dxa"/>
              <w:bottom w:w="0" w:type="dxa"/>
              <w:right w:w="108" w:type="dxa"/>
            </w:tcMar>
            <w:vAlign w:val="center"/>
          </w:tcPr>
          <w:p w:rsidR="00C474B5" w:rsidRDefault="0076676F">
            <w:pPr>
              <w:rPr>
                <w:kern w:val="0"/>
              </w:rPr>
            </w:pPr>
            <w:r>
              <w:rPr>
                <w:rFonts w:hAnsi="宋体"/>
              </w:rPr>
              <w:t>申购金额（元）</w:t>
            </w:r>
          </w:p>
        </w:tc>
        <w:tc>
          <w:tcPr>
            <w:tcW w:w="1472" w:type="pct"/>
            <w:vAlign w:val="center"/>
          </w:tcPr>
          <w:p w:rsidR="00C474B5" w:rsidRDefault="0076676F">
            <w:pPr>
              <w:rPr>
                <w:kern w:val="0"/>
              </w:rPr>
            </w:pPr>
            <w:r>
              <w:rPr>
                <w:rFonts w:hAnsi="宋体"/>
              </w:rPr>
              <w:t>特定申购费率</w:t>
            </w:r>
          </w:p>
        </w:tc>
        <w:tc>
          <w:tcPr>
            <w:tcW w:w="1005" w:type="pct"/>
            <w:tcMar>
              <w:top w:w="0" w:type="dxa"/>
              <w:left w:w="108" w:type="dxa"/>
              <w:bottom w:w="0" w:type="dxa"/>
              <w:right w:w="108" w:type="dxa"/>
            </w:tcMar>
            <w:vAlign w:val="center"/>
          </w:tcPr>
          <w:p w:rsidR="00C474B5" w:rsidRDefault="0076676F">
            <w:pPr>
              <w:rPr>
                <w:kern w:val="0"/>
              </w:rPr>
            </w:pPr>
            <w:r>
              <w:rPr>
                <w:rFonts w:hAnsi="宋体"/>
              </w:rPr>
              <w:t>申购费率</w:t>
            </w:r>
          </w:p>
        </w:tc>
      </w:tr>
      <w:tr w:rsidR="00C474B5">
        <w:trPr>
          <w:jc w:val="center"/>
        </w:trPr>
        <w:tc>
          <w:tcPr>
            <w:tcW w:w="2523" w:type="pct"/>
            <w:tcMar>
              <w:top w:w="0" w:type="dxa"/>
              <w:left w:w="108" w:type="dxa"/>
              <w:bottom w:w="0" w:type="dxa"/>
              <w:right w:w="108" w:type="dxa"/>
            </w:tcMar>
          </w:tcPr>
          <w:p w:rsidR="00C474B5" w:rsidRDefault="0076676F">
            <w:pPr>
              <w:rPr>
                <w:kern w:val="0"/>
              </w:rPr>
            </w:pPr>
            <w:r>
              <w:rPr>
                <w:rFonts w:hint="eastAsia"/>
              </w:rPr>
              <w:t>M</w:t>
            </w:r>
            <w:r>
              <w:rPr>
                <w:rFonts w:hint="eastAsia"/>
              </w:rPr>
              <w:t>＜</w:t>
            </w:r>
            <w:r>
              <w:rPr>
                <w:rFonts w:hint="eastAsia"/>
              </w:rPr>
              <w:t>100</w:t>
            </w:r>
            <w:r>
              <w:rPr>
                <w:rFonts w:hint="eastAsia"/>
              </w:rPr>
              <w:t>万</w:t>
            </w:r>
          </w:p>
        </w:tc>
        <w:tc>
          <w:tcPr>
            <w:tcW w:w="1472" w:type="pct"/>
            <w:vAlign w:val="center"/>
          </w:tcPr>
          <w:p w:rsidR="00C474B5" w:rsidRDefault="0076676F">
            <w:pPr>
              <w:rPr>
                <w:kern w:val="0"/>
              </w:rPr>
            </w:pPr>
            <w:r>
              <w:rPr>
                <w:rFonts w:hAnsi="宋体"/>
                <w:color w:val="000000"/>
              </w:rPr>
              <w:t>0.</w:t>
            </w:r>
            <w:r>
              <w:rPr>
                <w:rFonts w:hAnsi="宋体" w:hint="eastAsia"/>
                <w:color w:val="000000"/>
              </w:rPr>
              <w:t>36</w:t>
            </w:r>
            <w:r>
              <w:rPr>
                <w:rFonts w:hAnsi="宋体"/>
                <w:color w:val="000000"/>
              </w:rPr>
              <w:t>%</w:t>
            </w:r>
          </w:p>
        </w:tc>
        <w:tc>
          <w:tcPr>
            <w:tcW w:w="1005" w:type="pct"/>
            <w:tcMar>
              <w:top w:w="0" w:type="dxa"/>
              <w:left w:w="108" w:type="dxa"/>
              <w:bottom w:w="0" w:type="dxa"/>
              <w:right w:w="108" w:type="dxa"/>
            </w:tcMar>
            <w:vAlign w:val="center"/>
          </w:tcPr>
          <w:p w:rsidR="00C474B5" w:rsidRDefault="0076676F">
            <w:pPr>
              <w:rPr>
                <w:kern w:val="0"/>
              </w:rPr>
            </w:pPr>
            <w:r>
              <w:rPr>
                <w:rFonts w:hAnsi="宋体" w:hint="eastAsia"/>
                <w:color w:val="000000"/>
              </w:rPr>
              <w:t>1.20</w:t>
            </w:r>
            <w:r>
              <w:rPr>
                <w:rFonts w:hAnsi="宋体"/>
                <w:color w:val="000000"/>
              </w:rPr>
              <w:t>%</w:t>
            </w:r>
          </w:p>
        </w:tc>
      </w:tr>
      <w:tr w:rsidR="00C474B5">
        <w:trPr>
          <w:jc w:val="center"/>
        </w:trPr>
        <w:tc>
          <w:tcPr>
            <w:tcW w:w="2523" w:type="pct"/>
            <w:tcMar>
              <w:top w:w="0" w:type="dxa"/>
              <w:left w:w="108" w:type="dxa"/>
              <w:bottom w:w="0" w:type="dxa"/>
              <w:right w:w="108" w:type="dxa"/>
            </w:tcMar>
          </w:tcPr>
          <w:p w:rsidR="00C474B5" w:rsidRDefault="0076676F">
            <w:pPr>
              <w:rPr>
                <w:kern w:val="0"/>
              </w:rPr>
            </w:pPr>
            <w:r>
              <w:rPr>
                <w:rFonts w:hint="eastAsia"/>
              </w:rPr>
              <w:t>100</w:t>
            </w:r>
            <w:r>
              <w:rPr>
                <w:rFonts w:hint="eastAsia"/>
              </w:rPr>
              <w:t>万≤</w:t>
            </w:r>
            <w:r>
              <w:rPr>
                <w:rFonts w:hint="eastAsia"/>
              </w:rPr>
              <w:t>M</w:t>
            </w:r>
            <w:r>
              <w:rPr>
                <w:rFonts w:hint="eastAsia"/>
              </w:rPr>
              <w:t>＜</w:t>
            </w:r>
            <w:r>
              <w:rPr>
                <w:rFonts w:hint="eastAsia"/>
              </w:rPr>
              <w:t>300</w:t>
            </w:r>
            <w:r>
              <w:rPr>
                <w:rFonts w:hint="eastAsia"/>
              </w:rPr>
              <w:t>万</w:t>
            </w:r>
          </w:p>
        </w:tc>
        <w:tc>
          <w:tcPr>
            <w:tcW w:w="1472" w:type="pct"/>
            <w:vAlign w:val="center"/>
          </w:tcPr>
          <w:p w:rsidR="00C474B5" w:rsidRDefault="0076676F">
            <w:pPr>
              <w:rPr>
                <w:kern w:val="0"/>
              </w:rPr>
            </w:pPr>
            <w:r>
              <w:rPr>
                <w:rFonts w:hAnsi="宋体" w:hint="eastAsia"/>
                <w:color w:val="000000"/>
              </w:rPr>
              <w:t>0.24%</w:t>
            </w:r>
          </w:p>
        </w:tc>
        <w:tc>
          <w:tcPr>
            <w:tcW w:w="1005" w:type="pct"/>
            <w:tcMar>
              <w:top w:w="0" w:type="dxa"/>
              <w:left w:w="108" w:type="dxa"/>
              <w:bottom w:w="0" w:type="dxa"/>
              <w:right w:w="108" w:type="dxa"/>
            </w:tcMar>
            <w:vAlign w:val="center"/>
          </w:tcPr>
          <w:p w:rsidR="00C474B5" w:rsidRDefault="0076676F">
            <w:pPr>
              <w:rPr>
                <w:kern w:val="0"/>
              </w:rPr>
            </w:pPr>
            <w:r>
              <w:rPr>
                <w:rFonts w:hAnsi="宋体" w:hint="eastAsia"/>
                <w:color w:val="000000"/>
              </w:rPr>
              <w:t>0.80%</w:t>
            </w:r>
          </w:p>
        </w:tc>
      </w:tr>
      <w:tr w:rsidR="00C474B5">
        <w:trPr>
          <w:jc w:val="center"/>
        </w:trPr>
        <w:tc>
          <w:tcPr>
            <w:tcW w:w="2523" w:type="pct"/>
            <w:tcMar>
              <w:top w:w="0" w:type="dxa"/>
              <w:left w:w="108" w:type="dxa"/>
              <w:bottom w:w="0" w:type="dxa"/>
              <w:right w:w="108" w:type="dxa"/>
            </w:tcMar>
          </w:tcPr>
          <w:p w:rsidR="00C474B5" w:rsidRDefault="0076676F">
            <w:pPr>
              <w:rPr>
                <w:kern w:val="0"/>
              </w:rPr>
            </w:pPr>
            <w:r>
              <w:rPr>
                <w:rFonts w:hint="eastAsia"/>
              </w:rPr>
              <w:t>300</w:t>
            </w:r>
            <w:r>
              <w:rPr>
                <w:rFonts w:hint="eastAsia"/>
              </w:rPr>
              <w:t>万≤</w:t>
            </w:r>
            <w:r>
              <w:rPr>
                <w:rFonts w:hint="eastAsia"/>
              </w:rPr>
              <w:t>M</w:t>
            </w:r>
            <w:r>
              <w:rPr>
                <w:rFonts w:hint="eastAsia"/>
              </w:rPr>
              <w:t>＜</w:t>
            </w:r>
            <w:r>
              <w:rPr>
                <w:rFonts w:hint="eastAsia"/>
              </w:rPr>
              <w:t>500</w:t>
            </w:r>
            <w:r>
              <w:rPr>
                <w:rFonts w:hint="eastAsia"/>
              </w:rPr>
              <w:t>万</w:t>
            </w:r>
          </w:p>
        </w:tc>
        <w:tc>
          <w:tcPr>
            <w:tcW w:w="1472" w:type="pct"/>
            <w:vAlign w:val="center"/>
          </w:tcPr>
          <w:p w:rsidR="00C474B5" w:rsidRDefault="0076676F">
            <w:pPr>
              <w:rPr>
                <w:kern w:val="0"/>
              </w:rPr>
            </w:pPr>
            <w:r>
              <w:rPr>
                <w:rFonts w:hAnsi="宋体" w:hint="eastAsia"/>
                <w:color w:val="000000"/>
              </w:rPr>
              <w:t>0.15%</w:t>
            </w:r>
          </w:p>
        </w:tc>
        <w:tc>
          <w:tcPr>
            <w:tcW w:w="1005" w:type="pct"/>
            <w:tcMar>
              <w:top w:w="0" w:type="dxa"/>
              <w:left w:w="108" w:type="dxa"/>
              <w:bottom w:w="0" w:type="dxa"/>
              <w:right w:w="108" w:type="dxa"/>
            </w:tcMar>
            <w:vAlign w:val="center"/>
          </w:tcPr>
          <w:p w:rsidR="00C474B5" w:rsidRDefault="0076676F">
            <w:pPr>
              <w:rPr>
                <w:kern w:val="0"/>
              </w:rPr>
            </w:pPr>
            <w:r>
              <w:rPr>
                <w:rFonts w:hAnsi="宋体" w:hint="eastAsia"/>
                <w:color w:val="000000"/>
              </w:rPr>
              <w:t>0.50%</w:t>
            </w:r>
          </w:p>
        </w:tc>
      </w:tr>
      <w:tr w:rsidR="00C474B5">
        <w:trPr>
          <w:jc w:val="center"/>
        </w:trPr>
        <w:tc>
          <w:tcPr>
            <w:tcW w:w="2523" w:type="pct"/>
            <w:tcMar>
              <w:top w:w="0" w:type="dxa"/>
              <w:left w:w="108" w:type="dxa"/>
              <w:bottom w:w="0" w:type="dxa"/>
              <w:right w:w="108" w:type="dxa"/>
            </w:tcMar>
          </w:tcPr>
          <w:p w:rsidR="00C474B5" w:rsidRDefault="0076676F">
            <w:pPr>
              <w:rPr>
                <w:kern w:val="0"/>
              </w:rPr>
            </w:pPr>
            <w:r>
              <w:rPr>
                <w:rFonts w:hint="eastAsia"/>
              </w:rPr>
              <w:t>M</w:t>
            </w:r>
            <w:r>
              <w:rPr>
                <w:rFonts w:hint="eastAsia"/>
              </w:rPr>
              <w:t>≥</w:t>
            </w:r>
            <w:r>
              <w:rPr>
                <w:rFonts w:hint="eastAsia"/>
              </w:rPr>
              <w:t>500</w:t>
            </w:r>
            <w:r>
              <w:rPr>
                <w:rFonts w:hint="eastAsia"/>
              </w:rPr>
              <w:t>万</w:t>
            </w:r>
          </w:p>
        </w:tc>
        <w:tc>
          <w:tcPr>
            <w:tcW w:w="1472" w:type="pct"/>
          </w:tcPr>
          <w:p w:rsidR="00C474B5" w:rsidRDefault="0076676F">
            <w:pPr>
              <w:rPr>
                <w:kern w:val="0"/>
              </w:rPr>
            </w:pPr>
            <w:r>
              <w:rPr>
                <w:rFonts w:hint="eastAsia"/>
              </w:rPr>
              <w:t>300</w:t>
            </w:r>
            <w:r>
              <w:rPr>
                <w:rFonts w:hint="eastAsia"/>
              </w:rPr>
              <w:t>元</w:t>
            </w:r>
            <w:r>
              <w:rPr>
                <w:rFonts w:hint="eastAsia"/>
              </w:rPr>
              <w:t>/</w:t>
            </w:r>
            <w:r>
              <w:rPr>
                <w:rFonts w:hint="eastAsia"/>
              </w:rPr>
              <w:t>笔</w:t>
            </w:r>
          </w:p>
        </w:tc>
        <w:tc>
          <w:tcPr>
            <w:tcW w:w="1005" w:type="pct"/>
            <w:tcMar>
              <w:top w:w="0" w:type="dxa"/>
              <w:left w:w="108" w:type="dxa"/>
              <w:bottom w:w="0" w:type="dxa"/>
              <w:right w:w="108" w:type="dxa"/>
            </w:tcMar>
          </w:tcPr>
          <w:p w:rsidR="00C474B5" w:rsidRDefault="0076676F">
            <w:pPr>
              <w:rPr>
                <w:kern w:val="0"/>
              </w:rPr>
            </w:pPr>
            <w:r>
              <w:rPr>
                <w:rFonts w:hint="eastAsia"/>
              </w:rPr>
              <w:t>1,000</w:t>
            </w:r>
            <w:r>
              <w:rPr>
                <w:rFonts w:hint="eastAsia"/>
              </w:rPr>
              <w:t>元</w:t>
            </w:r>
            <w:r>
              <w:rPr>
                <w:rFonts w:hint="eastAsia"/>
              </w:rPr>
              <w:t>/</w:t>
            </w:r>
            <w:r>
              <w:rPr>
                <w:rFonts w:hint="eastAsia"/>
              </w:rPr>
              <w:t>笔</w:t>
            </w:r>
          </w:p>
        </w:tc>
      </w:tr>
    </w:tbl>
    <w:p w:rsidR="00C474B5" w:rsidRDefault="0076676F">
      <w:pPr>
        <w:ind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）本基金</w:t>
      </w:r>
      <w:r>
        <w:rPr>
          <w:rFonts w:ascii="宋体" w:hAnsi="宋体" w:cs="宋体"/>
        </w:rPr>
        <w:t>C</w:t>
      </w:r>
      <w:r>
        <w:rPr>
          <w:rFonts w:ascii="宋体" w:hAnsi="宋体" w:cs="宋体" w:hint="eastAsia"/>
        </w:rPr>
        <w:t>类基金份额不收取申购费。</w:t>
      </w:r>
    </w:p>
    <w:p w:rsidR="00C474B5" w:rsidRDefault="00C474B5"/>
    <w:p w:rsidR="00C474B5" w:rsidRDefault="00C474B5"/>
    <w:p w:rsidR="00C474B5" w:rsidRDefault="0076676F">
      <w:pPr>
        <w:pStyle w:val="2"/>
      </w:pPr>
      <w:r>
        <w:rPr>
          <w:rFonts w:ascii="宋体" w:hAnsi="宋体" w:cs="宋体"/>
        </w:rPr>
        <w:t xml:space="preserve">3.3 </w:t>
      </w:r>
      <w:r>
        <w:rPr>
          <w:rFonts w:ascii="宋体" w:hAnsi="宋体" w:cs="宋体"/>
        </w:rPr>
        <w:t>其他与申购相关的事项</w:t>
      </w:r>
    </w:p>
    <w:p w:rsidR="00C474B5" w:rsidRDefault="0076676F">
      <w:pPr>
        <w:jc w:val="left"/>
      </w:pPr>
      <w:r>
        <w:rPr>
          <w:rFonts w:ascii="宋体" w:hAnsi="宋体" w:cs="宋体"/>
        </w:rPr>
        <w:t xml:space="preserve">    </w:t>
      </w:r>
      <w:r>
        <w:rPr>
          <w:rFonts w:ascii="宋体" w:hAnsi="宋体" w:cs="宋体"/>
        </w:rPr>
        <w:t>基金管理人应以交易时间结束前受理有效申购申请的当天作为申购申请日（</w:t>
      </w:r>
      <w:r>
        <w:rPr>
          <w:rFonts w:ascii="宋体" w:hAnsi="宋体" w:cs="宋体"/>
        </w:rPr>
        <w:t>T</w:t>
      </w:r>
      <w:r>
        <w:rPr>
          <w:rFonts w:ascii="宋体" w:hAnsi="宋体" w:cs="宋体"/>
        </w:rPr>
        <w:t>日），在正常情况下，本基金登记机构在</w:t>
      </w:r>
      <w:r>
        <w:rPr>
          <w:rFonts w:ascii="宋体" w:hAnsi="宋体" w:cs="宋体"/>
        </w:rPr>
        <w:t>T+1</w:t>
      </w:r>
      <w:r>
        <w:rPr>
          <w:rFonts w:ascii="宋体" w:hAnsi="宋体" w:cs="宋体"/>
        </w:rPr>
        <w:t>日（包括该日）内对该交易的有效性进行确认。投资人应在</w:t>
      </w:r>
      <w:r>
        <w:rPr>
          <w:rFonts w:ascii="宋体" w:hAnsi="宋体" w:cs="宋体"/>
        </w:rPr>
        <w:t>T+2</w:t>
      </w:r>
      <w:r>
        <w:rPr>
          <w:rFonts w:ascii="宋体" w:hAnsi="宋体" w:cs="宋体"/>
        </w:rPr>
        <w:t>日后（包括该日）及时到销售网点柜台或以销售机构规定的其他方式查询申请的确认情况。若申购不成立或无效，则申购款项本金退还给投资人，基金管理人及基金托管人不承担该退回款项产生的利息等损</w:t>
      </w:r>
      <w:r>
        <w:rPr>
          <w:rFonts w:ascii="宋体" w:hAnsi="宋体" w:cs="宋体"/>
        </w:rPr>
        <w:lastRenderedPageBreak/>
        <w:t>失。因投资者未及时进行查询而造成的后果由其自行承担。</w:t>
      </w:r>
      <w:r>
        <w:rPr>
          <w:rFonts w:ascii="宋体" w:hAnsi="宋体" w:cs="宋体"/>
        </w:rPr>
        <w:cr/>
        <w:t xml:space="preserve">    </w:t>
      </w:r>
      <w:r>
        <w:rPr>
          <w:rFonts w:ascii="宋体" w:hAnsi="宋体" w:cs="宋体"/>
        </w:rPr>
        <w:t>销售机构对申购申请的受理并不代表该申请一定成功，而仅代表销售机构确实接收到申请。申购申请的确认</w:t>
      </w:r>
      <w:r>
        <w:rPr>
          <w:rFonts w:ascii="宋体" w:hAnsi="宋体" w:cs="宋体"/>
        </w:rPr>
        <w:t>以登记机构的确认结果为准。对于申请的确认情况，投资者应及时查询并妥善行使合法权利，否则如因申请未得到登记机构的确认而产生的后果，由投资人自行承担。</w:t>
      </w:r>
      <w:r>
        <w:rPr>
          <w:rFonts w:ascii="宋体" w:hAnsi="宋体" w:cs="宋体"/>
        </w:rPr>
        <w:cr/>
        <w:t xml:space="preserve">    </w:t>
      </w:r>
      <w:r>
        <w:rPr>
          <w:rFonts w:ascii="宋体" w:hAnsi="宋体" w:cs="宋体"/>
        </w:rPr>
        <w:t>基金管理人可以在法律法规允许的范围内对上述申购申请的确认时间进行调整，并必须在调整实施日前按照《信息披露办法》的有关规定在规定媒介上公告。</w:t>
      </w:r>
    </w:p>
    <w:p w:rsidR="00C474B5" w:rsidRDefault="0076676F">
      <w:pPr>
        <w:pStyle w:val="1"/>
      </w:pPr>
      <w:r>
        <w:rPr>
          <w:rFonts w:ascii="宋体" w:hAnsi="宋体" w:cs="宋体"/>
        </w:rPr>
        <w:t xml:space="preserve">4 </w:t>
      </w:r>
      <w:r>
        <w:rPr>
          <w:rFonts w:ascii="宋体" w:hAnsi="宋体" w:cs="宋体"/>
        </w:rPr>
        <w:t>日常赎回业务</w:t>
      </w:r>
    </w:p>
    <w:p w:rsidR="00C474B5" w:rsidRDefault="00C474B5"/>
    <w:p w:rsidR="00C474B5" w:rsidRDefault="0076676F">
      <w:pPr>
        <w:pStyle w:val="2"/>
      </w:pPr>
      <w:r>
        <w:rPr>
          <w:rFonts w:ascii="宋体" w:hAnsi="宋体" w:cs="宋体"/>
        </w:rPr>
        <w:t xml:space="preserve">4.1 </w:t>
      </w:r>
      <w:r>
        <w:rPr>
          <w:rFonts w:ascii="宋体" w:hAnsi="宋体" w:cs="宋体"/>
        </w:rPr>
        <w:t>赎回份额限制</w:t>
      </w:r>
    </w:p>
    <w:p w:rsidR="00C474B5" w:rsidRDefault="0076676F">
      <w:pPr>
        <w:jc w:val="left"/>
      </w:pPr>
      <w:r>
        <w:rPr>
          <w:rFonts w:ascii="宋体" w:hAnsi="宋体" w:cs="宋体"/>
        </w:rPr>
        <w:t xml:space="preserve">    </w:t>
      </w:r>
      <w:r>
        <w:rPr>
          <w:rFonts w:ascii="宋体" w:hAnsi="宋体" w:cs="宋体"/>
        </w:rPr>
        <w:t>基金份额持有人在销售机构（网点）赎回时，每笔赎回申请不得低于</w:t>
      </w:r>
      <w:r>
        <w:rPr>
          <w:rFonts w:ascii="宋体" w:hAnsi="宋体" w:cs="宋体"/>
        </w:rPr>
        <w:t>1</w:t>
      </w:r>
      <w:r>
        <w:rPr>
          <w:rFonts w:ascii="宋体" w:hAnsi="宋体" w:cs="宋体"/>
        </w:rPr>
        <w:t>份基金份额（但交易账户内剩余基金份额不足</w:t>
      </w:r>
      <w:r>
        <w:rPr>
          <w:rFonts w:ascii="宋体" w:hAnsi="宋体" w:cs="宋体"/>
        </w:rPr>
        <w:t>1</w:t>
      </w:r>
      <w:r>
        <w:rPr>
          <w:rFonts w:ascii="宋体" w:hAnsi="宋体" w:cs="宋体"/>
        </w:rPr>
        <w:t>份的除外）；基金份额持有人在销售机构（网点）的某一交易账户内基金份额不足</w:t>
      </w:r>
      <w:r>
        <w:rPr>
          <w:rFonts w:ascii="宋体" w:hAnsi="宋体" w:cs="宋体"/>
        </w:rPr>
        <w:t>1</w:t>
      </w:r>
      <w:r>
        <w:rPr>
          <w:rFonts w:ascii="宋体" w:hAnsi="宋体" w:cs="宋体"/>
        </w:rPr>
        <w:t>份的，应一次性全部赎回。</w:t>
      </w:r>
      <w:r>
        <w:rPr>
          <w:rFonts w:ascii="宋体" w:hAnsi="宋体" w:cs="宋体"/>
        </w:rPr>
        <w:t xml:space="preserve"> </w:t>
      </w:r>
      <w:r>
        <w:rPr>
          <w:rFonts w:ascii="宋体" w:hAnsi="宋体" w:cs="宋体"/>
        </w:rPr>
        <w:cr/>
        <w:t xml:space="preserve">    </w:t>
      </w:r>
      <w:r>
        <w:rPr>
          <w:rFonts w:ascii="宋体" w:hAnsi="宋体" w:cs="宋体"/>
        </w:rPr>
        <w:t>基金管理人可根据市场情况，在法律法规允许的情况下，调整上述规定赎回份额的数量限制。基金管理人必须在调整实施前依照《信息披露办法》的有关规定在规定媒介上公告。</w:t>
      </w:r>
    </w:p>
    <w:p w:rsidR="00C474B5" w:rsidRDefault="00C474B5"/>
    <w:p w:rsidR="00C474B5" w:rsidRDefault="0076676F">
      <w:pPr>
        <w:pStyle w:val="2"/>
      </w:pPr>
      <w:r>
        <w:rPr>
          <w:rFonts w:ascii="宋体" w:hAnsi="宋体" w:cs="宋体"/>
        </w:rPr>
        <w:t xml:space="preserve">4.2 </w:t>
      </w:r>
      <w:r>
        <w:rPr>
          <w:rFonts w:ascii="宋体" w:hAnsi="宋体" w:cs="宋体"/>
        </w:rPr>
        <w:t>赎回费率</w:t>
      </w:r>
    </w:p>
    <w:p w:rsidR="00C474B5" w:rsidRDefault="0076676F">
      <w:pPr>
        <w:ind w:firstLine="480"/>
        <w:rPr>
          <w:rFonts w:ascii="宋体" w:hAnsi="宋体" w:cs="宋体"/>
        </w:rPr>
      </w:pPr>
      <w:r>
        <w:rPr>
          <w:rFonts w:ascii="宋体" w:hAnsi="宋体" w:cs="宋体" w:hint="eastAsia"/>
        </w:rPr>
        <w:t>本基金</w:t>
      </w:r>
      <w:r>
        <w:rPr>
          <w:rFonts w:ascii="宋体" w:hAnsi="宋体" w:cs="宋体" w:hint="eastAsia"/>
        </w:rPr>
        <w:t>A</w:t>
      </w:r>
      <w:r>
        <w:rPr>
          <w:rFonts w:ascii="宋体" w:hAnsi="宋体" w:cs="宋体" w:hint="eastAsia"/>
        </w:rPr>
        <w:t>类基金份额</w:t>
      </w:r>
      <w:r>
        <w:rPr>
          <w:rFonts w:ascii="宋体" w:hAnsi="宋体" w:cs="宋体"/>
        </w:rPr>
        <w:t>的赎回费率</w:t>
      </w:r>
      <w:r>
        <w:rPr>
          <w:rFonts w:ascii="宋体" w:hAnsi="宋体" w:cs="宋体" w:hint="eastAsia"/>
        </w:rPr>
        <w:t>如下表：</w:t>
      </w:r>
    </w:p>
    <w:tbl>
      <w:tblPr>
        <w:tblW w:w="4907" w:type="pct"/>
        <w:tblInd w:w="165" w:type="dxa"/>
        <w:tblBorders>
          <w:top w:val="single" w:sz="12" w:space="0" w:color="0000FF"/>
          <w:bottom w:val="single" w:sz="12" w:space="0" w:color="0000FF"/>
          <w:insideH w:val="single" w:sz="6" w:space="0" w:color="0000FF"/>
        </w:tblBorders>
        <w:tblCellMar>
          <w:left w:w="0" w:type="dxa"/>
          <w:right w:w="0" w:type="dxa"/>
        </w:tblCellMar>
        <w:tblLook w:val="04A0"/>
      </w:tblPr>
      <w:tblGrid>
        <w:gridCol w:w="4545"/>
        <w:gridCol w:w="4462"/>
      </w:tblGrid>
      <w:tr w:rsidR="00C474B5">
        <w:tc>
          <w:tcPr>
            <w:tcW w:w="2523" w:type="pct"/>
            <w:tcBorders>
              <w:top w:val="single" w:sz="12" w:space="0" w:color="0000FF"/>
              <w:left w:val="nil"/>
              <w:bottom w:val="single" w:sz="6" w:space="0" w:color="0000FF"/>
              <w:right w:val="nil"/>
            </w:tcBorders>
            <w:tcMar>
              <w:top w:w="0" w:type="dxa"/>
              <w:left w:w="108" w:type="dxa"/>
              <w:bottom w:w="0" w:type="dxa"/>
              <w:right w:w="108" w:type="dxa"/>
            </w:tcMar>
            <w:vAlign w:val="center"/>
          </w:tcPr>
          <w:p w:rsidR="00C474B5" w:rsidRDefault="0076676F">
            <w:pPr>
              <w:rPr>
                <w:kern w:val="0"/>
              </w:rPr>
            </w:pPr>
            <w:r>
              <w:rPr>
                <w:kern w:val="0"/>
              </w:rPr>
              <w:t>持有期限</w:t>
            </w:r>
          </w:p>
        </w:tc>
        <w:tc>
          <w:tcPr>
            <w:tcW w:w="2477" w:type="pct"/>
            <w:tcBorders>
              <w:top w:val="single" w:sz="12" w:space="0" w:color="0000FF"/>
              <w:left w:val="nil"/>
              <w:bottom w:val="single" w:sz="6" w:space="0" w:color="0000FF"/>
            </w:tcBorders>
            <w:vAlign w:val="center"/>
          </w:tcPr>
          <w:p w:rsidR="00C474B5" w:rsidRDefault="0076676F">
            <w:pPr>
              <w:rPr>
                <w:kern w:val="0"/>
              </w:rPr>
            </w:pPr>
            <w:r>
              <w:rPr>
                <w:kern w:val="0"/>
              </w:rPr>
              <w:t>赎回费率</w:t>
            </w:r>
          </w:p>
        </w:tc>
      </w:tr>
      <w:tr w:rsidR="00C474B5">
        <w:tc>
          <w:tcPr>
            <w:tcW w:w="2523" w:type="pct"/>
            <w:tcBorders>
              <w:top w:val="single" w:sz="6" w:space="0" w:color="0000FF"/>
              <w:left w:val="nil"/>
              <w:bottom w:val="single" w:sz="6" w:space="0" w:color="0000FF"/>
              <w:right w:val="nil"/>
            </w:tcBorders>
            <w:tcMar>
              <w:top w:w="0" w:type="dxa"/>
              <w:left w:w="108" w:type="dxa"/>
              <w:bottom w:w="0" w:type="dxa"/>
              <w:right w:w="108" w:type="dxa"/>
            </w:tcMar>
            <w:vAlign w:val="center"/>
          </w:tcPr>
          <w:p w:rsidR="00C474B5" w:rsidRDefault="0076676F">
            <w:pPr>
              <w:rPr>
                <w:kern w:val="0"/>
              </w:rPr>
            </w:pPr>
            <w:r>
              <w:rPr>
                <w:kern w:val="0"/>
              </w:rPr>
              <w:t>7</w:t>
            </w:r>
            <w:r>
              <w:rPr>
                <w:kern w:val="0"/>
              </w:rPr>
              <w:t>日以内</w:t>
            </w:r>
          </w:p>
        </w:tc>
        <w:tc>
          <w:tcPr>
            <w:tcW w:w="2477" w:type="pct"/>
            <w:tcBorders>
              <w:top w:val="single" w:sz="6" w:space="0" w:color="0000FF"/>
              <w:left w:val="nil"/>
              <w:bottom w:val="single" w:sz="6" w:space="0" w:color="0000FF"/>
            </w:tcBorders>
            <w:vAlign w:val="center"/>
          </w:tcPr>
          <w:p w:rsidR="00C474B5" w:rsidRDefault="0076676F">
            <w:pPr>
              <w:rPr>
                <w:kern w:val="0"/>
              </w:rPr>
            </w:pPr>
            <w:r>
              <w:rPr>
                <w:kern w:val="0"/>
              </w:rPr>
              <w:t>1.50%</w:t>
            </w:r>
          </w:p>
        </w:tc>
      </w:tr>
      <w:tr w:rsidR="00C474B5">
        <w:tc>
          <w:tcPr>
            <w:tcW w:w="2523" w:type="pct"/>
            <w:tcBorders>
              <w:top w:val="single" w:sz="6" w:space="0" w:color="0000FF"/>
              <w:left w:val="nil"/>
              <w:bottom w:val="single" w:sz="6" w:space="0" w:color="0000FF"/>
              <w:right w:val="nil"/>
            </w:tcBorders>
            <w:tcMar>
              <w:top w:w="0" w:type="dxa"/>
              <w:left w:w="108" w:type="dxa"/>
              <w:bottom w:w="0" w:type="dxa"/>
              <w:right w:w="108" w:type="dxa"/>
            </w:tcMar>
            <w:vAlign w:val="center"/>
          </w:tcPr>
          <w:p w:rsidR="00C474B5" w:rsidRDefault="0076676F">
            <w:pPr>
              <w:rPr>
                <w:kern w:val="0"/>
              </w:rPr>
            </w:pPr>
            <w:r>
              <w:rPr>
                <w:rFonts w:hAnsi="宋体"/>
              </w:rPr>
              <w:t>7</w:t>
            </w:r>
            <w:r>
              <w:rPr>
                <w:kern w:val="0"/>
              </w:rPr>
              <w:t>日（含）</w:t>
            </w:r>
            <w:r>
              <w:rPr>
                <w:rFonts w:hint="eastAsia"/>
                <w:kern w:val="0"/>
              </w:rPr>
              <w:t>以上</w:t>
            </w:r>
          </w:p>
        </w:tc>
        <w:tc>
          <w:tcPr>
            <w:tcW w:w="2477" w:type="pct"/>
            <w:tcBorders>
              <w:top w:val="single" w:sz="6" w:space="0" w:color="0000FF"/>
              <w:left w:val="nil"/>
              <w:bottom w:val="single" w:sz="6" w:space="0" w:color="0000FF"/>
            </w:tcBorders>
            <w:vAlign w:val="center"/>
          </w:tcPr>
          <w:p w:rsidR="00C474B5" w:rsidRDefault="0076676F">
            <w:pPr>
              <w:rPr>
                <w:kern w:val="0"/>
              </w:rPr>
            </w:pPr>
            <w:r>
              <w:rPr>
                <w:kern w:val="0"/>
              </w:rPr>
              <w:t>0.00%</w:t>
            </w:r>
          </w:p>
        </w:tc>
      </w:tr>
    </w:tbl>
    <w:p w:rsidR="00C474B5" w:rsidRDefault="0076676F">
      <w:pPr>
        <w:ind w:firstLine="480"/>
        <w:rPr>
          <w:rFonts w:ascii="宋体" w:hAnsi="宋体" w:cs="宋体"/>
        </w:rPr>
      </w:pPr>
      <w:r>
        <w:rPr>
          <w:rFonts w:ascii="宋体" w:hAnsi="宋体" w:cs="宋体"/>
        </w:rPr>
        <w:t>本基金</w:t>
      </w:r>
      <w:r>
        <w:rPr>
          <w:rFonts w:ascii="宋体" w:hAnsi="宋体" w:cs="宋体"/>
        </w:rPr>
        <w:t>C</w:t>
      </w:r>
      <w:r>
        <w:rPr>
          <w:rFonts w:ascii="宋体" w:hAnsi="宋体" w:cs="宋体" w:hint="eastAsia"/>
        </w:rPr>
        <w:t>类基金份额</w:t>
      </w:r>
      <w:r>
        <w:rPr>
          <w:rFonts w:ascii="宋体" w:hAnsi="宋体" w:cs="宋体"/>
        </w:rPr>
        <w:t>的赎回费率如下表：</w:t>
      </w:r>
    </w:p>
    <w:tbl>
      <w:tblPr>
        <w:tblW w:w="4907" w:type="pct"/>
        <w:tblInd w:w="165" w:type="dxa"/>
        <w:tblBorders>
          <w:top w:val="single" w:sz="12" w:space="0" w:color="0000FF"/>
          <w:bottom w:val="single" w:sz="12" w:space="0" w:color="0000FF"/>
          <w:insideH w:val="single" w:sz="6" w:space="0" w:color="0000FF"/>
        </w:tblBorders>
        <w:tblCellMar>
          <w:left w:w="0" w:type="dxa"/>
          <w:right w:w="0" w:type="dxa"/>
        </w:tblCellMar>
        <w:tblLook w:val="04A0"/>
      </w:tblPr>
      <w:tblGrid>
        <w:gridCol w:w="4545"/>
        <w:gridCol w:w="4462"/>
      </w:tblGrid>
      <w:tr w:rsidR="00C474B5">
        <w:tc>
          <w:tcPr>
            <w:tcW w:w="2523" w:type="pct"/>
            <w:tcBorders>
              <w:top w:val="single" w:sz="12" w:space="0" w:color="0000FF"/>
              <w:left w:val="nil"/>
              <w:bottom w:val="single" w:sz="6" w:space="0" w:color="0000FF"/>
              <w:right w:val="nil"/>
            </w:tcBorders>
            <w:tcMar>
              <w:top w:w="0" w:type="dxa"/>
              <w:left w:w="108" w:type="dxa"/>
              <w:bottom w:w="0" w:type="dxa"/>
              <w:right w:w="108" w:type="dxa"/>
            </w:tcMar>
            <w:vAlign w:val="center"/>
          </w:tcPr>
          <w:p w:rsidR="00C474B5" w:rsidRDefault="0076676F">
            <w:pPr>
              <w:rPr>
                <w:kern w:val="0"/>
              </w:rPr>
            </w:pPr>
            <w:r>
              <w:rPr>
                <w:kern w:val="0"/>
              </w:rPr>
              <w:t>持有期限</w:t>
            </w:r>
          </w:p>
        </w:tc>
        <w:tc>
          <w:tcPr>
            <w:tcW w:w="2477" w:type="pct"/>
            <w:tcBorders>
              <w:top w:val="single" w:sz="12" w:space="0" w:color="0000FF"/>
              <w:left w:val="nil"/>
              <w:bottom w:val="single" w:sz="6" w:space="0" w:color="0000FF"/>
            </w:tcBorders>
            <w:vAlign w:val="center"/>
          </w:tcPr>
          <w:p w:rsidR="00C474B5" w:rsidRDefault="0076676F">
            <w:pPr>
              <w:rPr>
                <w:kern w:val="0"/>
              </w:rPr>
            </w:pPr>
            <w:r>
              <w:rPr>
                <w:kern w:val="0"/>
              </w:rPr>
              <w:t>赎回费率</w:t>
            </w:r>
          </w:p>
        </w:tc>
      </w:tr>
      <w:tr w:rsidR="00C474B5">
        <w:tc>
          <w:tcPr>
            <w:tcW w:w="2523" w:type="pct"/>
            <w:tcBorders>
              <w:top w:val="single" w:sz="6" w:space="0" w:color="0000FF"/>
              <w:left w:val="nil"/>
              <w:bottom w:val="single" w:sz="6" w:space="0" w:color="0000FF"/>
              <w:right w:val="nil"/>
            </w:tcBorders>
            <w:tcMar>
              <w:top w:w="0" w:type="dxa"/>
              <w:left w:w="108" w:type="dxa"/>
              <w:bottom w:w="0" w:type="dxa"/>
              <w:right w:w="108" w:type="dxa"/>
            </w:tcMar>
            <w:vAlign w:val="center"/>
          </w:tcPr>
          <w:p w:rsidR="00C474B5" w:rsidRDefault="0076676F">
            <w:pPr>
              <w:rPr>
                <w:kern w:val="0"/>
              </w:rPr>
            </w:pPr>
            <w:r>
              <w:rPr>
                <w:kern w:val="0"/>
              </w:rPr>
              <w:t>7</w:t>
            </w:r>
            <w:r>
              <w:rPr>
                <w:kern w:val="0"/>
              </w:rPr>
              <w:t>日以内</w:t>
            </w:r>
          </w:p>
        </w:tc>
        <w:tc>
          <w:tcPr>
            <w:tcW w:w="2477" w:type="pct"/>
            <w:tcBorders>
              <w:top w:val="single" w:sz="6" w:space="0" w:color="0000FF"/>
              <w:left w:val="nil"/>
              <w:bottom w:val="single" w:sz="6" w:space="0" w:color="0000FF"/>
            </w:tcBorders>
            <w:vAlign w:val="center"/>
          </w:tcPr>
          <w:p w:rsidR="00C474B5" w:rsidRDefault="0076676F">
            <w:pPr>
              <w:rPr>
                <w:kern w:val="0"/>
              </w:rPr>
            </w:pPr>
            <w:r>
              <w:rPr>
                <w:kern w:val="0"/>
              </w:rPr>
              <w:t>1.50%</w:t>
            </w:r>
          </w:p>
        </w:tc>
      </w:tr>
      <w:tr w:rsidR="00C474B5">
        <w:tc>
          <w:tcPr>
            <w:tcW w:w="2523" w:type="pct"/>
            <w:tcBorders>
              <w:top w:val="single" w:sz="6" w:space="0" w:color="0000FF"/>
              <w:left w:val="nil"/>
              <w:bottom w:val="single" w:sz="6" w:space="0" w:color="0000FF"/>
              <w:right w:val="nil"/>
            </w:tcBorders>
            <w:tcMar>
              <w:top w:w="0" w:type="dxa"/>
              <w:left w:w="108" w:type="dxa"/>
              <w:bottom w:w="0" w:type="dxa"/>
              <w:right w:w="108" w:type="dxa"/>
            </w:tcMar>
            <w:vAlign w:val="center"/>
          </w:tcPr>
          <w:p w:rsidR="00C474B5" w:rsidRDefault="0076676F">
            <w:pPr>
              <w:rPr>
                <w:kern w:val="0"/>
              </w:rPr>
            </w:pPr>
            <w:r>
              <w:rPr>
                <w:rFonts w:hAnsi="宋体"/>
              </w:rPr>
              <w:t>7</w:t>
            </w:r>
            <w:r>
              <w:rPr>
                <w:kern w:val="0"/>
              </w:rPr>
              <w:t>日（含）</w:t>
            </w:r>
            <w:r>
              <w:rPr>
                <w:rFonts w:hint="eastAsia"/>
                <w:kern w:val="0"/>
              </w:rPr>
              <w:t>以上</w:t>
            </w:r>
          </w:p>
        </w:tc>
        <w:tc>
          <w:tcPr>
            <w:tcW w:w="2477" w:type="pct"/>
            <w:tcBorders>
              <w:top w:val="single" w:sz="6" w:space="0" w:color="0000FF"/>
              <w:left w:val="nil"/>
              <w:bottom w:val="single" w:sz="6" w:space="0" w:color="0000FF"/>
            </w:tcBorders>
            <w:vAlign w:val="center"/>
          </w:tcPr>
          <w:p w:rsidR="00C474B5" w:rsidRDefault="0076676F">
            <w:pPr>
              <w:rPr>
                <w:kern w:val="0"/>
              </w:rPr>
            </w:pPr>
            <w:r>
              <w:rPr>
                <w:kern w:val="0"/>
              </w:rPr>
              <w:t>0.00%</w:t>
            </w:r>
          </w:p>
        </w:tc>
      </w:tr>
    </w:tbl>
    <w:p w:rsidR="00C474B5" w:rsidRDefault="00C474B5">
      <w:pPr>
        <w:jc w:val="left"/>
      </w:pPr>
    </w:p>
    <w:p w:rsidR="00C474B5" w:rsidRDefault="00C474B5"/>
    <w:p w:rsidR="00C474B5" w:rsidRDefault="0076676F">
      <w:pPr>
        <w:pStyle w:val="2"/>
      </w:pPr>
      <w:r>
        <w:rPr>
          <w:rFonts w:ascii="宋体" w:hAnsi="宋体" w:cs="宋体"/>
        </w:rPr>
        <w:t xml:space="preserve">4.3 </w:t>
      </w:r>
      <w:r>
        <w:rPr>
          <w:rFonts w:ascii="宋体" w:hAnsi="宋体" w:cs="宋体"/>
        </w:rPr>
        <w:t>其他与赎回相关的事项</w:t>
      </w:r>
    </w:p>
    <w:p w:rsidR="00C474B5" w:rsidRDefault="0076676F">
      <w:pPr>
        <w:jc w:val="left"/>
      </w:pPr>
      <w:r>
        <w:rPr>
          <w:rFonts w:ascii="宋体" w:hAnsi="宋体" w:cs="宋体"/>
        </w:rPr>
        <w:t xml:space="preserve">    </w:t>
      </w:r>
      <w:r>
        <w:rPr>
          <w:rFonts w:ascii="宋体" w:hAnsi="宋体" w:cs="宋体"/>
        </w:rPr>
        <w:t>基金管理人应以交易时间结束前受理有效赎回申请的当天作为赎回申请日（</w:t>
      </w:r>
      <w:r>
        <w:rPr>
          <w:rFonts w:ascii="宋体" w:hAnsi="宋体" w:cs="宋体"/>
        </w:rPr>
        <w:t>T</w:t>
      </w:r>
      <w:r>
        <w:rPr>
          <w:rFonts w:ascii="宋体" w:hAnsi="宋体" w:cs="宋体"/>
        </w:rPr>
        <w:t>日），在正常情况下，本基金登记机构在</w:t>
      </w:r>
      <w:r>
        <w:rPr>
          <w:rFonts w:ascii="宋体" w:hAnsi="宋体" w:cs="宋体"/>
        </w:rPr>
        <w:t>T+1</w:t>
      </w:r>
      <w:r>
        <w:rPr>
          <w:rFonts w:ascii="宋体" w:hAnsi="宋体" w:cs="宋体"/>
        </w:rPr>
        <w:t>日（包括该日）内对该交易的有效性进行确认。投资人应在</w:t>
      </w:r>
      <w:r>
        <w:rPr>
          <w:rFonts w:ascii="宋体" w:hAnsi="宋体" w:cs="宋体"/>
        </w:rPr>
        <w:t>T+2</w:t>
      </w:r>
      <w:r>
        <w:rPr>
          <w:rFonts w:ascii="宋体" w:hAnsi="宋体" w:cs="宋体"/>
        </w:rPr>
        <w:t>日后（包括该日）及时到销售网点柜台或以销售机构规定的其他方式查询申请的确认情况。因投资者未及时进行查询而造成的后果由其自行承担。</w:t>
      </w:r>
      <w:r>
        <w:rPr>
          <w:rFonts w:ascii="宋体" w:hAnsi="宋体" w:cs="宋体"/>
        </w:rPr>
        <w:cr/>
      </w:r>
      <w:r>
        <w:rPr>
          <w:rFonts w:ascii="宋体" w:hAnsi="宋体" w:cs="宋体"/>
        </w:rPr>
        <w:t xml:space="preserve">    </w:t>
      </w:r>
      <w:r>
        <w:rPr>
          <w:rFonts w:ascii="宋体" w:hAnsi="宋体" w:cs="宋体"/>
        </w:rPr>
        <w:t>销售机构对赎回申请的受理并不代表该申请一定成功，而仅代表销售机构确实接收到申请。赎回申请的确认以登记机构的确认结果为准。对于申请的确认情况，投资者应及时查询并妥善行使合法权利，否则如因申请未得到登记机构的确认而产生的后果，由投资人自行承担。</w:t>
      </w:r>
      <w:r>
        <w:rPr>
          <w:rFonts w:ascii="宋体" w:hAnsi="宋体" w:cs="宋体"/>
        </w:rPr>
        <w:cr/>
        <w:t xml:space="preserve">    </w:t>
      </w:r>
      <w:r>
        <w:rPr>
          <w:rFonts w:ascii="宋体" w:hAnsi="宋体" w:cs="宋体"/>
        </w:rPr>
        <w:t>基金管理人可以在法律法规允许的范围内对上述赎回申请的确认时间进行调整，并必须在调整实施日前按照《信息披露办法》的有关规定在规定媒介上公告。</w:t>
      </w:r>
    </w:p>
    <w:p w:rsidR="00C474B5" w:rsidRDefault="0076676F">
      <w:pPr>
        <w:pStyle w:val="1"/>
      </w:pPr>
      <w:r>
        <w:rPr>
          <w:rFonts w:ascii="宋体" w:hAnsi="宋体" w:cs="宋体"/>
        </w:rPr>
        <w:t xml:space="preserve">5 </w:t>
      </w:r>
      <w:r>
        <w:rPr>
          <w:rFonts w:ascii="宋体" w:hAnsi="宋体" w:cs="宋体"/>
        </w:rPr>
        <w:t>日常转换业务</w:t>
      </w:r>
    </w:p>
    <w:p w:rsidR="00C474B5" w:rsidRDefault="00C474B5"/>
    <w:p w:rsidR="00C474B5" w:rsidRDefault="0076676F">
      <w:pPr>
        <w:pStyle w:val="2"/>
      </w:pPr>
      <w:r>
        <w:rPr>
          <w:rFonts w:ascii="宋体" w:hAnsi="宋体" w:cs="宋体"/>
        </w:rPr>
        <w:t xml:space="preserve">5.1 </w:t>
      </w:r>
      <w:r>
        <w:rPr>
          <w:rFonts w:ascii="宋体" w:hAnsi="宋体" w:cs="宋体"/>
        </w:rPr>
        <w:t>转换费率</w:t>
      </w:r>
    </w:p>
    <w:p w:rsidR="00C474B5" w:rsidRDefault="0076676F">
      <w:pPr>
        <w:jc w:val="left"/>
      </w:pPr>
      <w:r>
        <w:rPr>
          <w:rFonts w:ascii="宋体" w:hAnsi="宋体" w:cs="宋体"/>
        </w:rPr>
        <w:t xml:space="preserve">    </w:t>
      </w:r>
      <w:r>
        <w:rPr>
          <w:rFonts w:ascii="宋体" w:hAnsi="宋体" w:cs="宋体"/>
        </w:rPr>
        <w:t>基金转换费用由三部分组成：转出基金赎回费、转换费和申购补差费。其中，</w:t>
      </w:r>
      <w:r>
        <w:rPr>
          <w:rFonts w:ascii="宋体" w:hAnsi="宋体" w:cs="宋体"/>
        </w:rPr>
        <w:t>转出基金赎回费根据各转出基金相应的赎回费率进行计算和收取；转换费根据本基金管理人设定的转换费率进行计算和收取，目前，本基金管理人将转换费率全部设为</w:t>
      </w:r>
      <w:r>
        <w:rPr>
          <w:rFonts w:ascii="宋体" w:hAnsi="宋体" w:cs="宋体"/>
        </w:rPr>
        <w:t>0</w:t>
      </w:r>
      <w:r>
        <w:rPr>
          <w:rFonts w:ascii="宋体" w:hAnsi="宋体" w:cs="宋体"/>
        </w:rPr>
        <w:t>；申购补差费为转入基金申购费与转出基金申购费之间的差额，申购费率按申购金额的不同分段收取，申购金额按申请转换时的金额计算，申购补差费按转入基金和转出基金各自对应的申购费率分别计算，由申购费率高的基金向申购费率低的基金进行转换时不收取申购补差费。具体申购费率标准请见各基金的相关法律文件和最新公告。</w:t>
      </w:r>
      <w:r>
        <w:rPr>
          <w:rFonts w:ascii="宋体" w:hAnsi="宋体" w:cs="宋体"/>
        </w:rPr>
        <w:cr/>
        <w:t xml:space="preserve">    </w:t>
      </w:r>
      <w:r>
        <w:rPr>
          <w:rFonts w:ascii="宋体" w:hAnsi="宋体" w:cs="宋体"/>
        </w:rPr>
        <w:t>基金转换的计算公式：</w:t>
      </w:r>
      <w:r>
        <w:rPr>
          <w:rFonts w:ascii="宋体" w:hAnsi="宋体" w:cs="宋体"/>
        </w:rPr>
        <w:cr/>
        <w:t xml:space="preserve">    </w:t>
      </w:r>
      <w:r>
        <w:rPr>
          <w:rFonts w:ascii="宋体" w:hAnsi="宋体" w:cs="宋体"/>
        </w:rPr>
        <w:t>转出金额＝转出份额</w:t>
      </w:r>
      <w:r>
        <w:rPr>
          <w:rFonts w:ascii="宋体" w:hAnsi="宋体" w:cs="宋体"/>
        </w:rPr>
        <w:t>×</w:t>
      </w:r>
      <w:r>
        <w:rPr>
          <w:rFonts w:ascii="宋体" w:hAnsi="宋体" w:cs="宋体"/>
        </w:rPr>
        <w:t>转出基金</w:t>
      </w:r>
      <w:r>
        <w:rPr>
          <w:rFonts w:ascii="宋体" w:hAnsi="宋体" w:cs="宋体"/>
        </w:rPr>
        <w:t>当日之基金份额净值</w:t>
      </w:r>
      <w:r>
        <w:rPr>
          <w:rFonts w:ascii="宋体" w:hAnsi="宋体" w:cs="宋体"/>
        </w:rPr>
        <w:cr/>
        <w:t xml:space="preserve">    </w:t>
      </w:r>
      <w:r>
        <w:rPr>
          <w:rFonts w:ascii="宋体" w:hAnsi="宋体" w:cs="宋体"/>
        </w:rPr>
        <w:t>转出基金赎回费＝转出金额</w:t>
      </w:r>
      <w:r>
        <w:rPr>
          <w:rFonts w:ascii="宋体" w:hAnsi="宋体" w:cs="宋体"/>
        </w:rPr>
        <w:t>×</w:t>
      </w:r>
      <w:r>
        <w:rPr>
          <w:rFonts w:ascii="宋体" w:hAnsi="宋体" w:cs="宋体"/>
        </w:rPr>
        <w:t>转出基金赎回费率</w:t>
      </w:r>
      <w:r>
        <w:rPr>
          <w:rFonts w:ascii="宋体" w:hAnsi="宋体" w:cs="宋体"/>
        </w:rPr>
        <w:cr/>
        <w:t xml:space="preserve">    </w:t>
      </w:r>
      <w:r>
        <w:rPr>
          <w:rFonts w:ascii="宋体" w:hAnsi="宋体" w:cs="宋体"/>
        </w:rPr>
        <w:t>转出基金转换费＝转出金额</w:t>
      </w:r>
      <w:r>
        <w:rPr>
          <w:rFonts w:ascii="宋体" w:hAnsi="宋体" w:cs="宋体"/>
        </w:rPr>
        <w:t>×</w:t>
      </w:r>
      <w:r>
        <w:rPr>
          <w:rFonts w:ascii="宋体" w:hAnsi="宋体" w:cs="宋体"/>
        </w:rPr>
        <w:t>转出基金转换费率</w:t>
      </w:r>
      <w:r>
        <w:rPr>
          <w:rFonts w:ascii="宋体" w:hAnsi="宋体" w:cs="宋体"/>
        </w:rPr>
        <w:cr/>
        <w:t xml:space="preserve">    </w:t>
      </w:r>
      <w:r>
        <w:rPr>
          <w:rFonts w:ascii="宋体" w:hAnsi="宋体" w:cs="宋体"/>
        </w:rPr>
        <w:t>转入金额＝转出金额－转出基金赎回费－转出基金转换费</w:t>
      </w:r>
      <w:r>
        <w:rPr>
          <w:rFonts w:ascii="宋体" w:hAnsi="宋体" w:cs="宋体"/>
        </w:rPr>
        <w:cr/>
        <w:t xml:space="preserve">    </w:t>
      </w:r>
      <w:r>
        <w:rPr>
          <w:rFonts w:ascii="宋体" w:hAnsi="宋体" w:cs="宋体"/>
        </w:rPr>
        <w:t>基金转换申购补差费＝转入基金的申购费－转出基金的申购费</w:t>
      </w:r>
      <w:r>
        <w:rPr>
          <w:rFonts w:ascii="宋体" w:hAnsi="宋体" w:cs="宋体"/>
        </w:rPr>
        <w:cr/>
        <w:t xml:space="preserve">    </w:t>
      </w:r>
      <w:r>
        <w:rPr>
          <w:rFonts w:ascii="宋体" w:hAnsi="宋体" w:cs="宋体"/>
        </w:rPr>
        <w:t>其中：</w:t>
      </w:r>
      <w:r>
        <w:rPr>
          <w:rFonts w:ascii="宋体" w:hAnsi="宋体" w:cs="宋体"/>
        </w:rPr>
        <w:cr/>
        <w:t xml:space="preserve">    1</w:t>
      </w:r>
      <w:r>
        <w:rPr>
          <w:rFonts w:ascii="宋体" w:hAnsi="宋体" w:cs="宋体"/>
        </w:rPr>
        <w:t>、转入基金的申购费＝</w:t>
      </w:r>
      <w:r>
        <w:rPr>
          <w:rFonts w:ascii="宋体" w:hAnsi="宋体" w:cs="宋体"/>
        </w:rPr>
        <w:t>[</w:t>
      </w:r>
      <w:r>
        <w:rPr>
          <w:rFonts w:ascii="宋体" w:hAnsi="宋体" w:cs="宋体"/>
        </w:rPr>
        <w:t>转入金额－转入金额</w:t>
      </w:r>
      <w:r>
        <w:rPr>
          <w:rFonts w:ascii="宋体" w:hAnsi="宋体" w:cs="宋体"/>
        </w:rPr>
        <w:t>÷</w:t>
      </w:r>
      <w:r>
        <w:rPr>
          <w:rFonts w:ascii="宋体" w:hAnsi="宋体" w:cs="宋体"/>
        </w:rPr>
        <w:t>（</w:t>
      </w:r>
      <w:r>
        <w:rPr>
          <w:rFonts w:ascii="宋体" w:hAnsi="宋体" w:cs="宋体"/>
        </w:rPr>
        <w:t>1</w:t>
      </w:r>
      <w:r>
        <w:rPr>
          <w:rFonts w:ascii="宋体" w:hAnsi="宋体" w:cs="宋体"/>
        </w:rPr>
        <w:t>＋转入基金的申购费率）</w:t>
      </w:r>
      <w:r>
        <w:rPr>
          <w:rFonts w:ascii="宋体" w:hAnsi="宋体" w:cs="宋体"/>
        </w:rPr>
        <w:t>]</w:t>
      </w:r>
      <w:r>
        <w:rPr>
          <w:rFonts w:ascii="宋体" w:hAnsi="宋体" w:cs="宋体"/>
        </w:rPr>
        <w:t>，或，转入基金固定申购费金额</w:t>
      </w:r>
      <w:r>
        <w:rPr>
          <w:rFonts w:ascii="宋体" w:hAnsi="宋体" w:cs="宋体"/>
        </w:rPr>
        <w:cr/>
        <w:t xml:space="preserve">    2</w:t>
      </w:r>
      <w:r>
        <w:rPr>
          <w:rFonts w:ascii="宋体" w:hAnsi="宋体" w:cs="宋体"/>
        </w:rPr>
        <w:t>、转出基金的申购费＝</w:t>
      </w:r>
      <w:r>
        <w:rPr>
          <w:rFonts w:ascii="宋体" w:hAnsi="宋体" w:cs="宋体"/>
        </w:rPr>
        <w:t>[</w:t>
      </w:r>
      <w:r>
        <w:rPr>
          <w:rFonts w:ascii="宋体" w:hAnsi="宋体" w:cs="宋体"/>
        </w:rPr>
        <w:t>转入金额－转入金额</w:t>
      </w:r>
      <w:r>
        <w:rPr>
          <w:rFonts w:ascii="宋体" w:hAnsi="宋体" w:cs="宋体"/>
        </w:rPr>
        <w:t>÷</w:t>
      </w:r>
      <w:r>
        <w:rPr>
          <w:rFonts w:ascii="宋体" w:hAnsi="宋体" w:cs="宋体"/>
        </w:rPr>
        <w:t>（</w:t>
      </w:r>
      <w:r>
        <w:rPr>
          <w:rFonts w:ascii="宋体" w:hAnsi="宋体" w:cs="宋体"/>
        </w:rPr>
        <w:t>1</w:t>
      </w:r>
      <w:r>
        <w:rPr>
          <w:rFonts w:ascii="宋体" w:hAnsi="宋体" w:cs="宋体"/>
        </w:rPr>
        <w:t>＋转出基金的申购费率）</w:t>
      </w:r>
      <w:r>
        <w:rPr>
          <w:rFonts w:ascii="宋体" w:hAnsi="宋体" w:cs="宋体"/>
        </w:rPr>
        <w:t>]</w:t>
      </w:r>
      <w:r>
        <w:rPr>
          <w:rFonts w:ascii="宋体" w:hAnsi="宋体" w:cs="宋体"/>
        </w:rPr>
        <w:t>，或，转出基金固定申购费金额</w:t>
      </w:r>
      <w:r>
        <w:rPr>
          <w:rFonts w:ascii="宋体" w:hAnsi="宋体" w:cs="宋体"/>
        </w:rPr>
        <w:cr/>
        <w:t xml:space="preserve">    3</w:t>
      </w:r>
      <w:r>
        <w:rPr>
          <w:rFonts w:ascii="宋体" w:hAnsi="宋体" w:cs="宋体"/>
        </w:rPr>
        <w:t>、如计算所得基金转</w:t>
      </w:r>
      <w:r>
        <w:rPr>
          <w:rFonts w:ascii="宋体" w:hAnsi="宋体" w:cs="宋体"/>
        </w:rPr>
        <w:t>换申购补差费用小于</w:t>
      </w:r>
      <w:r>
        <w:rPr>
          <w:rFonts w:ascii="宋体" w:hAnsi="宋体" w:cs="宋体"/>
        </w:rPr>
        <w:t>0</w:t>
      </w:r>
      <w:r>
        <w:rPr>
          <w:rFonts w:ascii="宋体" w:hAnsi="宋体" w:cs="宋体"/>
        </w:rPr>
        <w:t>，则基金转换申购补差费用为</w:t>
      </w:r>
      <w:r>
        <w:rPr>
          <w:rFonts w:ascii="宋体" w:hAnsi="宋体" w:cs="宋体"/>
        </w:rPr>
        <w:t>0</w:t>
      </w:r>
      <w:r>
        <w:rPr>
          <w:rFonts w:ascii="宋体" w:hAnsi="宋体" w:cs="宋体"/>
        </w:rPr>
        <w:cr/>
        <w:t xml:space="preserve">    </w:t>
      </w:r>
      <w:r>
        <w:rPr>
          <w:rFonts w:ascii="宋体" w:hAnsi="宋体" w:cs="宋体"/>
        </w:rPr>
        <w:t>净转入金额＝转入金额</w:t>
      </w:r>
      <w:r>
        <w:rPr>
          <w:rFonts w:ascii="宋体" w:hAnsi="宋体" w:cs="宋体"/>
        </w:rPr>
        <w:t>-</w:t>
      </w:r>
      <w:r>
        <w:rPr>
          <w:rFonts w:ascii="宋体" w:hAnsi="宋体" w:cs="宋体"/>
        </w:rPr>
        <w:t>基金转换申购补差费转入份额＝净转入金额</w:t>
      </w:r>
      <w:r>
        <w:rPr>
          <w:rFonts w:ascii="宋体" w:hAnsi="宋体" w:cs="宋体"/>
        </w:rPr>
        <w:t>÷</w:t>
      </w:r>
      <w:r>
        <w:rPr>
          <w:rFonts w:ascii="宋体" w:hAnsi="宋体" w:cs="宋体"/>
        </w:rPr>
        <w:t>转入基金当日之基金份额净值</w:t>
      </w:r>
      <w:r>
        <w:rPr>
          <w:rFonts w:ascii="宋体" w:hAnsi="宋体" w:cs="宋体"/>
        </w:rPr>
        <w:cr/>
        <w:t xml:space="preserve">    </w:t>
      </w:r>
      <w:r>
        <w:rPr>
          <w:rFonts w:ascii="宋体" w:hAnsi="宋体" w:cs="宋体"/>
        </w:rPr>
        <w:t>转出金额、转出基金赎回费与转换费的计算保留小数点后两位，第三位四舍五入，由此产生的误差在转出基金资产中列支；净转入金额、转入份额的计算保留小数点后两位，第三位四舍五入，由此产生的误差在转入基金资产中列支。</w:t>
      </w:r>
      <w:r>
        <w:rPr>
          <w:rFonts w:ascii="宋体" w:hAnsi="宋体" w:cs="宋体"/>
        </w:rPr>
        <w:cr/>
        <w:t xml:space="preserve">    </w:t>
      </w:r>
      <w:r>
        <w:rPr>
          <w:rFonts w:ascii="宋体" w:hAnsi="宋体" w:cs="宋体"/>
        </w:rPr>
        <w:t>基金管理人可以根据情况在不违背有关法律法规和基金合同规定的前提下，在与代销机构协商后，调整上述收费方式和费率水平，并根据法律法规和中国证监会的</w:t>
      </w:r>
      <w:r>
        <w:rPr>
          <w:rFonts w:ascii="宋体" w:hAnsi="宋体" w:cs="宋体"/>
        </w:rPr>
        <w:t>规定进行公告。</w:t>
      </w:r>
    </w:p>
    <w:p w:rsidR="00C474B5" w:rsidRDefault="00C474B5"/>
    <w:p w:rsidR="00C474B5" w:rsidRDefault="0076676F">
      <w:pPr>
        <w:pStyle w:val="2"/>
      </w:pPr>
      <w:r>
        <w:rPr>
          <w:rFonts w:ascii="宋体" w:hAnsi="宋体" w:cs="宋体"/>
        </w:rPr>
        <w:t xml:space="preserve">5.2 </w:t>
      </w:r>
      <w:r>
        <w:rPr>
          <w:rFonts w:ascii="宋体" w:hAnsi="宋体" w:cs="宋体"/>
        </w:rPr>
        <w:t>其他与转换相关的事项</w:t>
      </w:r>
    </w:p>
    <w:p w:rsidR="00C474B5" w:rsidRDefault="0076676F">
      <w:pPr>
        <w:jc w:val="left"/>
      </w:pPr>
      <w:r>
        <w:rPr>
          <w:rFonts w:ascii="宋体" w:hAnsi="宋体" w:cs="宋体"/>
        </w:rPr>
        <w:t xml:space="preserve">    </w:t>
      </w:r>
      <w:r>
        <w:rPr>
          <w:rFonts w:ascii="宋体" w:hAnsi="宋体" w:cs="宋体"/>
        </w:rPr>
        <w:t>基金转换业务规则</w:t>
      </w:r>
      <w:r>
        <w:rPr>
          <w:rFonts w:ascii="宋体" w:hAnsi="宋体" w:cs="宋体"/>
        </w:rPr>
        <w:cr/>
        <w:t xml:space="preserve">    </w:t>
      </w:r>
      <w:r>
        <w:rPr>
          <w:rFonts w:ascii="宋体" w:hAnsi="宋体" w:cs="宋体"/>
        </w:rPr>
        <w:t>基金转换采用</w:t>
      </w:r>
      <w:r>
        <w:rPr>
          <w:rFonts w:ascii="宋体" w:hAnsi="宋体" w:cs="宋体"/>
        </w:rPr>
        <w:t>“</w:t>
      </w:r>
      <w:r>
        <w:rPr>
          <w:rFonts w:ascii="宋体" w:hAnsi="宋体" w:cs="宋体"/>
        </w:rPr>
        <w:t>份额转换、未知价</w:t>
      </w:r>
      <w:r>
        <w:rPr>
          <w:rFonts w:ascii="宋体" w:hAnsi="宋体" w:cs="宋体"/>
        </w:rPr>
        <w:t>”</w:t>
      </w:r>
      <w:r>
        <w:rPr>
          <w:rFonts w:ascii="宋体" w:hAnsi="宋体" w:cs="宋体"/>
        </w:rPr>
        <w:t>原则，转出、转入均以</w:t>
      </w:r>
      <w:r>
        <w:rPr>
          <w:rFonts w:ascii="宋体" w:hAnsi="宋体" w:cs="宋体"/>
        </w:rPr>
        <w:t>T</w:t>
      </w:r>
      <w:r>
        <w:rPr>
          <w:rFonts w:ascii="宋体" w:hAnsi="宋体" w:cs="宋体"/>
        </w:rPr>
        <w:t>日的基金份额净值为基础计算转出金额与转入份额。转换费用计算采用单笔计算法。投资者在</w:t>
      </w:r>
      <w:r>
        <w:rPr>
          <w:rFonts w:ascii="宋体" w:hAnsi="宋体" w:cs="宋体"/>
        </w:rPr>
        <w:t>T</w:t>
      </w:r>
      <w:r>
        <w:rPr>
          <w:rFonts w:ascii="宋体" w:hAnsi="宋体" w:cs="宋体"/>
        </w:rPr>
        <w:t>日多次转换的，单笔计算转换费用，不按照转换的总份额计算其转换费用。</w:t>
      </w:r>
      <w:r>
        <w:rPr>
          <w:rFonts w:ascii="宋体" w:hAnsi="宋体" w:cs="宋体"/>
        </w:rPr>
        <w:cr/>
        <w:t xml:space="preserve">    </w:t>
      </w:r>
      <w:r>
        <w:rPr>
          <w:rFonts w:ascii="宋体" w:hAnsi="宋体" w:cs="宋体"/>
        </w:rPr>
        <w:t>基金转换费用按照需转出份额对应的转出基金赎回费率、转换费率计算费用，并向转出方收取；按照需转入的金额对应的转出与转入基金的申购费差额费率计算费用，并向转入方收取。</w:t>
      </w:r>
      <w:r>
        <w:rPr>
          <w:rFonts w:ascii="宋体" w:hAnsi="宋体" w:cs="宋体"/>
        </w:rPr>
        <w:cr/>
        <w:t xml:space="preserve">    </w:t>
      </w:r>
      <w:r>
        <w:rPr>
          <w:rFonts w:ascii="宋体" w:hAnsi="宋体" w:cs="宋体"/>
        </w:rPr>
        <w:t>基金转换只能转换为同一基金账户下的基金份额。</w:t>
      </w:r>
      <w:r>
        <w:rPr>
          <w:rFonts w:ascii="宋体" w:hAnsi="宋体" w:cs="宋体"/>
        </w:rPr>
        <w:cr/>
        <w:t xml:space="preserve">    </w:t>
      </w:r>
      <w:r>
        <w:rPr>
          <w:rFonts w:ascii="宋体" w:hAnsi="宋体" w:cs="宋体"/>
        </w:rPr>
        <w:t>投资者办理基金转换业务时，转出方的基金必须处于可赎回状态，转入方的基金必须处于可申购状态，已冻结份额不得申请基金转换，基金账户冻结期间不受理基金转换申请。</w:t>
      </w:r>
      <w:r>
        <w:rPr>
          <w:rFonts w:ascii="宋体" w:hAnsi="宋体" w:cs="宋体"/>
        </w:rPr>
        <w:cr/>
        <w:t xml:space="preserve">    </w:t>
      </w:r>
      <w:r>
        <w:rPr>
          <w:rFonts w:ascii="宋体" w:hAnsi="宋体" w:cs="宋体"/>
        </w:rPr>
        <w:t>经转换后的基金份额在赎回时，按转入基金的规定赎回费率计算赎回费用，基金管理人在相关基金公告中另有规定的除外。</w:t>
      </w:r>
      <w:r>
        <w:rPr>
          <w:rFonts w:ascii="宋体" w:hAnsi="宋体" w:cs="宋体"/>
        </w:rPr>
        <w:cr/>
        <w:t xml:space="preserve">    </w:t>
      </w:r>
      <w:r>
        <w:rPr>
          <w:rFonts w:ascii="宋体" w:hAnsi="宋体" w:cs="宋体"/>
        </w:rPr>
        <w:t>经转换后的基金份额持有时间从转换确认日开始重新计算。</w:t>
      </w:r>
      <w:r>
        <w:rPr>
          <w:rFonts w:ascii="宋体" w:hAnsi="宋体" w:cs="宋体"/>
        </w:rPr>
        <w:cr/>
        <w:t xml:space="preserve">    </w:t>
      </w:r>
      <w:r>
        <w:rPr>
          <w:rFonts w:ascii="宋体" w:hAnsi="宋体" w:cs="宋体"/>
        </w:rPr>
        <w:t>投资者提交申请的基金转换份额不超过投资者在该销售机构托管的基金份额。如果投资者的基金份额余额高于</w:t>
      </w:r>
      <w:r>
        <w:rPr>
          <w:rFonts w:ascii="宋体" w:hAnsi="宋体" w:cs="宋体"/>
        </w:rPr>
        <w:t>1</w:t>
      </w:r>
      <w:r>
        <w:rPr>
          <w:rFonts w:ascii="宋体" w:hAnsi="宋体" w:cs="宋体"/>
        </w:rPr>
        <w:t>份，投资者转换的最低份额为</w:t>
      </w:r>
      <w:r>
        <w:rPr>
          <w:rFonts w:ascii="宋体" w:hAnsi="宋体" w:cs="宋体"/>
        </w:rPr>
        <w:t>1</w:t>
      </w:r>
      <w:r>
        <w:rPr>
          <w:rFonts w:ascii="宋体" w:hAnsi="宋体" w:cs="宋体"/>
        </w:rPr>
        <w:t>份基金份额，投资者可将其全部或部</w:t>
      </w:r>
      <w:r>
        <w:rPr>
          <w:rFonts w:ascii="宋体" w:hAnsi="宋体" w:cs="宋体"/>
        </w:rPr>
        <w:t>分基金份额转换。如果投资者的基金份额低于</w:t>
      </w:r>
      <w:r>
        <w:rPr>
          <w:rFonts w:ascii="宋体" w:hAnsi="宋体" w:cs="宋体"/>
        </w:rPr>
        <w:t>1</w:t>
      </w:r>
      <w:r>
        <w:rPr>
          <w:rFonts w:ascii="宋体" w:hAnsi="宋体" w:cs="宋体"/>
        </w:rPr>
        <w:t>份（含</w:t>
      </w:r>
      <w:r>
        <w:rPr>
          <w:rFonts w:ascii="宋体" w:hAnsi="宋体" w:cs="宋体"/>
        </w:rPr>
        <w:t>1</w:t>
      </w:r>
      <w:r>
        <w:rPr>
          <w:rFonts w:ascii="宋体" w:hAnsi="宋体" w:cs="宋体"/>
        </w:rPr>
        <w:t>份），投资者转换时必须一次性转换全部基金份额。</w:t>
      </w:r>
      <w:r>
        <w:rPr>
          <w:rFonts w:ascii="宋体" w:hAnsi="宋体" w:cs="宋体"/>
        </w:rPr>
        <w:cr/>
        <w:t xml:space="preserve">    </w:t>
      </w:r>
      <w:r>
        <w:rPr>
          <w:rFonts w:ascii="宋体" w:hAnsi="宋体" w:cs="宋体"/>
        </w:rPr>
        <w:t>基金转换和赎回在计算巨额赎回时同时计算，转出视同赎回。</w:t>
      </w:r>
      <w:r>
        <w:rPr>
          <w:rFonts w:ascii="宋体" w:hAnsi="宋体" w:cs="宋体"/>
        </w:rPr>
        <w:cr/>
        <w:t xml:space="preserve">    T</w:t>
      </w:r>
      <w:r>
        <w:rPr>
          <w:rFonts w:ascii="宋体" w:hAnsi="宋体" w:cs="宋体"/>
        </w:rPr>
        <w:t>日的转换申请可以在</w:t>
      </w:r>
      <w:r>
        <w:rPr>
          <w:rFonts w:ascii="宋体" w:hAnsi="宋体" w:cs="宋体"/>
        </w:rPr>
        <w:t>T</w:t>
      </w:r>
      <w:r>
        <w:rPr>
          <w:rFonts w:ascii="宋体" w:hAnsi="宋体" w:cs="宋体"/>
        </w:rPr>
        <w:t>日规定的正常交易时间内撤销。登记结算中心在</w:t>
      </w:r>
      <w:r>
        <w:rPr>
          <w:rFonts w:ascii="宋体" w:hAnsi="宋体" w:cs="宋体"/>
        </w:rPr>
        <w:t>T+1</w:t>
      </w:r>
      <w:r>
        <w:rPr>
          <w:rFonts w:ascii="宋体" w:hAnsi="宋体" w:cs="宋体"/>
        </w:rPr>
        <w:t>日对投资者的</w:t>
      </w:r>
      <w:r>
        <w:rPr>
          <w:rFonts w:ascii="宋体" w:hAnsi="宋体" w:cs="宋体"/>
        </w:rPr>
        <w:t>T</w:t>
      </w:r>
      <w:r>
        <w:rPr>
          <w:rFonts w:ascii="宋体" w:hAnsi="宋体" w:cs="宋体"/>
        </w:rPr>
        <w:t>日转换申请进行确认。投资者于</w:t>
      </w:r>
      <w:r>
        <w:rPr>
          <w:rFonts w:ascii="宋体" w:hAnsi="宋体" w:cs="宋体"/>
        </w:rPr>
        <w:t>T+2</w:t>
      </w:r>
      <w:r>
        <w:rPr>
          <w:rFonts w:ascii="宋体" w:hAnsi="宋体" w:cs="宋体"/>
        </w:rPr>
        <w:t>日可查询转换申请确认结果。</w:t>
      </w:r>
      <w:r>
        <w:rPr>
          <w:rFonts w:ascii="宋体" w:hAnsi="宋体" w:cs="宋体"/>
        </w:rPr>
        <w:cr/>
        <w:t xml:space="preserve">    </w:t>
      </w:r>
      <w:r>
        <w:rPr>
          <w:rFonts w:ascii="宋体" w:hAnsi="宋体" w:cs="宋体"/>
        </w:rPr>
        <w:t>本基金转换业务适用于本基金基金份额与下述本公司已发行和管理的其他开放式基金份额（未开通转换的基金份额除外）之间的相互转换，本公司旗下自建</w:t>
      </w:r>
      <w:r>
        <w:rPr>
          <w:rFonts w:ascii="宋体" w:hAnsi="宋体" w:cs="宋体"/>
        </w:rPr>
        <w:t>TA</w:t>
      </w:r>
      <w:r>
        <w:rPr>
          <w:rFonts w:ascii="宋体" w:hAnsi="宋体" w:cs="宋体"/>
        </w:rPr>
        <w:t>基金与中登（</w:t>
      </w:r>
      <w:r>
        <w:rPr>
          <w:rFonts w:ascii="宋体" w:hAnsi="宋体" w:cs="宋体"/>
        </w:rPr>
        <w:t>“</w:t>
      </w:r>
      <w:r>
        <w:rPr>
          <w:rFonts w:ascii="宋体" w:hAnsi="宋体" w:cs="宋体"/>
        </w:rPr>
        <w:t>中登</w:t>
      </w:r>
      <w:r>
        <w:rPr>
          <w:rFonts w:ascii="宋体" w:hAnsi="宋体" w:cs="宋体"/>
        </w:rPr>
        <w:t>”</w:t>
      </w:r>
      <w:r>
        <w:rPr>
          <w:rFonts w:ascii="宋体" w:hAnsi="宋体" w:cs="宋体"/>
        </w:rPr>
        <w:t>为中国证券登记结算有限公司的</w:t>
      </w:r>
      <w:r>
        <w:rPr>
          <w:rFonts w:ascii="宋体" w:hAnsi="宋体" w:cs="宋体"/>
        </w:rPr>
        <w:t>简称）</w:t>
      </w:r>
      <w:r>
        <w:rPr>
          <w:rFonts w:ascii="宋体" w:hAnsi="宋体" w:cs="宋体"/>
        </w:rPr>
        <w:t>TA</w:t>
      </w:r>
      <w:r>
        <w:rPr>
          <w:rFonts w:ascii="宋体" w:hAnsi="宋体" w:cs="宋体"/>
        </w:rPr>
        <w:t>基金之间不能相互转换。</w:t>
      </w:r>
      <w:r>
        <w:rPr>
          <w:rFonts w:ascii="宋体" w:hAnsi="宋体" w:cs="宋体"/>
        </w:rPr>
        <w:cr/>
        <w:t xml:space="preserve">    </w:t>
      </w:r>
      <w:r>
        <w:rPr>
          <w:rFonts w:ascii="宋体" w:hAnsi="宋体" w:cs="宋体"/>
        </w:rPr>
        <w:t>本基金办理基金转换业务的具体规定请遵照各代销机构的相关规定执行。</w:t>
      </w:r>
    </w:p>
    <w:p w:rsidR="00C474B5" w:rsidRDefault="0076676F">
      <w:pPr>
        <w:pStyle w:val="1"/>
      </w:pPr>
      <w:r>
        <w:rPr>
          <w:rFonts w:ascii="宋体" w:hAnsi="宋体" w:cs="宋体"/>
        </w:rPr>
        <w:t xml:space="preserve">6 </w:t>
      </w:r>
      <w:r>
        <w:rPr>
          <w:rFonts w:ascii="宋体" w:hAnsi="宋体" w:cs="宋体"/>
        </w:rPr>
        <w:t>定期定额投资业务</w:t>
      </w:r>
    </w:p>
    <w:p w:rsidR="00C474B5" w:rsidRDefault="0076676F">
      <w:pPr>
        <w:jc w:val="left"/>
      </w:pPr>
      <w:r>
        <w:rPr>
          <w:rFonts w:ascii="宋体" w:hAnsi="宋体" w:cs="宋体"/>
        </w:rPr>
        <w:t xml:space="preserve">    </w:t>
      </w:r>
      <w:r>
        <w:rPr>
          <w:rFonts w:ascii="宋体" w:hAnsi="宋体" w:cs="宋体"/>
        </w:rPr>
        <w:t>定期定额申购业务是指投资者通过指定销售机构提出固定日期和固定金额的扣款和申购申请，由指定销售机构在约定扣款日为投资者自动完成扣款及基金申购申请的一种交易方式。</w:t>
      </w:r>
      <w:r>
        <w:rPr>
          <w:rFonts w:ascii="宋体" w:hAnsi="宋体" w:cs="宋体"/>
        </w:rPr>
        <w:cr/>
        <w:t xml:space="preserve">    </w:t>
      </w:r>
      <w:r>
        <w:rPr>
          <w:rFonts w:ascii="宋体" w:hAnsi="宋体" w:cs="宋体"/>
        </w:rPr>
        <w:t>（一）适用基金范围</w:t>
      </w:r>
      <w:r>
        <w:rPr>
          <w:rFonts w:ascii="宋体" w:hAnsi="宋体" w:cs="宋体"/>
        </w:rPr>
        <w:cr/>
        <w:t xml:space="preserve">    2026</w:t>
      </w:r>
      <w:r>
        <w:rPr>
          <w:rFonts w:ascii="宋体" w:hAnsi="宋体" w:cs="宋体"/>
        </w:rPr>
        <w:t>年</w:t>
      </w:r>
      <w:r>
        <w:rPr>
          <w:rFonts w:ascii="宋体" w:hAnsi="宋体" w:cs="宋体"/>
        </w:rPr>
        <w:t xml:space="preserve"> 1 </w:t>
      </w:r>
      <w:r>
        <w:rPr>
          <w:rFonts w:ascii="宋体" w:hAnsi="宋体" w:cs="宋体"/>
        </w:rPr>
        <w:t>月</w:t>
      </w:r>
      <w:r>
        <w:rPr>
          <w:rFonts w:ascii="宋体" w:hAnsi="宋体" w:cs="宋体"/>
        </w:rPr>
        <w:t xml:space="preserve"> 5</w:t>
      </w:r>
      <w:r>
        <w:rPr>
          <w:rFonts w:ascii="宋体" w:hAnsi="宋体" w:cs="宋体"/>
        </w:rPr>
        <w:t>日起，投资者可通过各销售机构办理本基金的定期定额投资业务。</w:t>
      </w:r>
      <w:r>
        <w:rPr>
          <w:rFonts w:ascii="宋体" w:hAnsi="宋体" w:cs="宋体"/>
        </w:rPr>
        <w:cr/>
        <w:t xml:space="preserve">    </w:t>
      </w:r>
      <w:r>
        <w:rPr>
          <w:rFonts w:ascii="宋体" w:hAnsi="宋体" w:cs="宋体"/>
        </w:rPr>
        <w:t>（二）适用投资者范围</w:t>
      </w:r>
      <w:r>
        <w:rPr>
          <w:rFonts w:ascii="宋体" w:hAnsi="宋体" w:cs="宋体"/>
        </w:rPr>
        <w:cr/>
        <w:t xml:space="preserve">    </w:t>
      </w:r>
      <w:r>
        <w:rPr>
          <w:rFonts w:ascii="宋体" w:hAnsi="宋体" w:cs="宋体"/>
        </w:rPr>
        <w:t>中华人民共和国境内的个人投资者（法律法规禁止购买证券投资基</w:t>
      </w:r>
      <w:r>
        <w:rPr>
          <w:rFonts w:ascii="宋体" w:hAnsi="宋体" w:cs="宋体"/>
        </w:rPr>
        <w:t>金者除外）。</w:t>
      </w:r>
      <w:r>
        <w:rPr>
          <w:rFonts w:ascii="宋体" w:hAnsi="宋体" w:cs="宋体"/>
        </w:rPr>
        <w:cr/>
        <w:t xml:space="preserve">    </w:t>
      </w:r>
      <w:r>
        <w:rPr>
          <w:rFonts w:ascii="宋体" w:hAnsi="宋体" w:cs="宋体"/>
        </w:rPr>
        <w:t>（三）申请方式</w:t>
      </w:r>
      <w:r>
        <w:rPr>
          <w:rFonts w:ascii="宋体" w:hAnsi="宋体" w:cs="宋体"/>
        </w:rPr>
        <w:cr/>
        <w:t xml:space="preserve">    1</w:t>
      </w:r>
      <w:r>
        <w:rPr>
          <w:rFonts w:ascii="宋体" w:hAnsi="宋体" w:cs="宋体"/>
        </w:rPr>
        <w:t>、凡申请办理本基金定期定额投资业务的投资者须首先开立本公司开放式基金账户（适用于自建</w:t>
      </w:r>
      <w:r>
        <w:rPr>
          <w:rFonts w:ascii="宋体" w:hAnsi="宋体" w:cs="宋体"/>
        </w:rPr>
        <w:t xml:space="preserve"> TA </w:t>
      </w:r>
      <w:r>
        <w:rPr>
          <w:rFonts w:ascii="宋体" w:hAnsi="宋体" w:cs="宋体"/>
        </w:rPr>
        <w:t>基金，已开户者除外），具体办理程序请遵循各销售机构的规定。</w:t>
      </w:r>
      <w:r>
        <w:rPr>
          <w:rFonts w:ascii="宋体" w:hAnsi="宋体" w:cs="宋体"/>
        </w:rPr>
        <w:cr/>
        <w:t xml:space="preserve">    2</w:t>
      </w:r>
      <w:r>
        <w:rPr>
          <w:rFonts w:ascii="宋体" w:hAnsi="宋体" w:cs="宋体"/>
        </w:rPr>
        <w:t>、已开立本公司开放式基金账户到各销售机构申请增开交易账号（已开户者除外），并申请办理定期定额投资业务，具体办理程序请遵循各销售机构的规定。</w:t>
      </w:r>
      <w:r>
        <w:rPr>
          <w:rFonts w:ascii="宋体" w:hAnsi="宋体" w:cs="宋体"/>
        </w:rPr>
        <w:cr/>
        <w:t xml:space="preserve">    </w:t>
      </w:r>
      <w:r>
        <w:rPr>
          <w:rFonts w:ascii="宋体" w:hAnsi="宋体" w:cs="宋体"/>
        </w:rPr>
        <w:t>（四）扣款方式和扣款日期</w:t>
      </w:r>
      <w:r>
        <w:rPr>
          <w:rFonts w:ascii="宋体" w:hAnsi="宋体" w:cs="宋体"/>
        </w:rPr>
        <w:cr/>
        <w:t xml:space="preserve">    </w:t>
      </w:r>
      <w:r>
        <w:rPr>
          <w:rFonts w:ascii="宋体" w:hAnsi="宋体" w:cs="宋体"/>
        </w:rPr>
        <w:t>投资者须遵循各销售机构的基金定期定额投资业务规则，指定本人的人民币结算账户作为扣款账户，根据与各销售机构的约定进行扣款。</w:t>
      </w:r>
      <w:r>
        <w:rPr>
          <w:rFonts w:ascii="宋体" w:hAnsi="宋体" w:cs="宋体"/>
        </w:rPr>
        <w:t>若遇非基金申购开放日则顺延至下一基金申购开放日。</w:t>
      </w:r>
      <w:r>
        <w:rPr>
          <w:rFonts w:ascii="宋体" w:hAnsi="宋体" w:cs="宋体"/>
        </w:rPr>
        <w:cr/>
        <w:t xml:space="preserve">    </w:t>
      </w:r>
      <w:r>
        <w:rPr>
          <w:rFonts w:ascii="宋体" w:hAnsi="宋体" w:cs="宋体"/>
        </w:rPr>
        <w:t>（五）投资金额</w:t>
      </w:r>
      <w:r>
        <w:rPr>
          <w:rFonts w:ascii="宋体" w:hAnsi="宋体" w:cs="宋体"/>
        </w:rPr>
        <w:cr/>
        <w:t xml:space="preserve">    </w:t>
      </w:r>
      <w:r>
        <w:rPr>
          <w:rFonts w:ascii="宋体" w:hAnsi="宋体" w:cs="宋体"/>
        </w:rPr>
        <w:t>本基金的定期定额投资起点金额为</w:t>
      </w:r>
      <w:r>
        <w:rPr>
          <w:rFonts w:ascii="宋体" w:hAnsi="宋体" w:cs="宋体"/>
        </w:rPr>
        <w:t xml:space="preserve"> 1 </w:t>
      </w:r>
      <w:r>
        <w:rPr>
          <w:rFonts w:ascii="宋体" w:hAnsi="宋体" w:cs="宋体"/>
        </w:rPr>
        <w:t>元，投资者亦可根据各销售机构的规定约定每期申购金额。</w:t>
      </w:r>
      <w:r>
        <w:rPr>
          <w:rFonts w:ascii="宋体" w:hAnsi="宋体" w:cs="宋体"/>
        </w:rPr>
        <w:cr/>
        <w:t xml:space="preserve">    </w:t>
      </w:r>
      <w:r>
        <w:rPr>
          <w:rFonts w:ascii="宋体" w:hAnsi="宋体" w:cs="宋体"/>
        </w:rPr>
        <w:t>（六）申购费率</w:t>
      </w:r>
      <w:r>
        <w:rPr>
          <w:rFonts w:ascii="宋体" w:hAnsi="宋体" w:cs="宋体"/>
        </w:rPr>
        <w:cr/>
        <w:t xml:space="preserve">    </w:t>
      </w:r>
      <w:r>
        <w:rPr>
          <w:rFonts w:ascii="宋体" w:hAnsi="宋体" w:cs="宋体"/>
        </w:rPr>
        <w:t>详见本基金的招募说明书、基金产品资料概要等信息披露文件。</w:t>
      </w:r>
      <w:r>
        <w:rPr>
          <w:rFonts w:ascii="宋体" w:hAnsi="宋体" w:cs="宋体"/>
        </w:rPr>
        <w:cr/>
        <w:t xml:space="preserve">    </w:t>
      </w:r>
      <w:r>
        <w:rPr>
          <w:rFonts w:ascii="宋体" w:hAnsi="宋体" w:cs="宋体"/>
        </w:rPr>
        <w:t>（七）交易确认</w:t>
      </w:r>
      <w:r>
        <w:rPr>
          <w:rFonts w:ascii="宋体" w:hAnsi="宋体" w:cs="宋体"/>
        </w:rPr>
        <w:cr/>
        <w:t xml:space="preserve">    </w:t>
      </w:r>
      <w:r>
        <w:rPr>
          <w:rFonts w:ascii="宋体" w:hAnsi="宋体" w:cs="宋体"/>
        </w:rPr>
        <w:t>每月实际扣款日即为基金申购申请日，并以该日（</w:t>
      </w:r>
      <w:r>
        <w:rPr>
          <w:rFonts w:ascii="宋体" w:hAnsi="宋体" w:cs="宋体"/>
        </w:rPr>
        <w:t xml:space="preserve">T </w:t>
      </w:r>
      <w:r>
        <w:rPr>
          <w:rFonts w:ascii="宋体" w:hAnsi="宋体" w:cs="宋体"/>
        </w:rPr>
        <w:t>日）的基金份额资产净值为基准计算申购份额，在正常情况下，本基金登记机构在</w:t>
      </w:r>
      <w:r>
        <w:rPr>
          <w:rFonts w:ascii="宋体" w:hAnsi="宋体" w:cs="宋体"/>
        </w:rPr>
        <w:t xml:space="preserve">T+1 </w:t>
      </w:r>
      <w:r>
        <w:rPr>
          <w:rFonts w:ascii="宋体" w:hAnsi="宋体" w:cs="宋体"/>
        </w:rPr>
        <w:t>日内（包括该日）对该交易的有效性进行确认。</w:t>
      </w:r>
      <w:r>
        <w:rPr>
          <w:rFonts w:ascii="宋体" w:hAnsi="宋体" w:cs="宋体"/>
        </w:rPr>
        <w:t xml:space="preserve">T </w:t>
      </w:r>
      <w:r>
        <w:rPr>
          <w:rFonts w:ascii="宋体" w:hAnsi="宋体" w:cs="宋体"/>
        </w:rPr>
        <w:t>日提交的有效申请，投资人应在</w:t>
      </w:r>
      <w:r>
        <w:rPr>
          <w:rFonts w:ascii="宋体" w:hAnsi="宋体" w:cs="宋体"/>
        </w:rPr>
        <w:t xml:space="preserve">T+2 </w:t>
      </w:r>
      <w:r>
        <w:rPr>
          <w:rFonts w:ascii="宋体" w:hAnsi="宋体" w:cs="宋体"/>
        </w:rPr>
        <w:t>日后（包</w:t>
      </w:r>
      <w:r>
        <w:rPr>
          <w:rFonts w:ascii="宋体" w:hAnsi="宋体" w:cs="宋体"/>
        </w:rPr>
        <w:t>括该日）及时到销售网点柜台或以销售机构规定的其他方式查询申请的确认情况。</w:t>
      </w:r>
      <w:r>
        <w:rPr>
          <w:rFonts w:ascii="宋体" w:hAnsi="宋体" w:cs="宋体"/>
        </w:rPr>
        <w:cr/>
        <w:t xml:space="preserve">    </w:t>
      </w:r>
      <w:r>
        <w:rPr>
          <w:rFonts w:ascii="宋体" w:hAnsi="宋体" w:cs="宋体"/>
        </w:rPr>
        <w:t>（八）变更及终止</w:t>
      </w:r>
      <w:r>
        <w:rPr>
          <w:rFonts w:ascii="宋体" w:hAnsi="宋体" w:cs="宋体"/>
        </w:rPr>
        <w:cr/>
        <w:t xml:space="preserve">    </w:t>
      </w:r>
      <w:r>
        <w:rPr>
          <w:rFonts w:ascii="宋体" w:hAnsi="宋体" w:cs="宋体"/>
        </w:rPr>
        <w:t>（</w:t>
      </w:r>
      <w:r>
        <w:rPr>
          <w:rFonts w:ascii="宋体" w:hAnsi="宋体" w:cs="宋体"/>
        </w:rPr>
        <w:t>1</w:t>
      </w:r>
      <w:r>
        <w:rPr>
          <w:rFonts w:ascii="宋体" w:hAnsi="宋体" w:cs="宋体"/>
        </w:rPr>
        <w:t>）投资者变更每期扣款金额、扣款日期、扣款账户等，须携带本人有效身份证件及相关凭证到原销售机构申请办理业务变更，具体办理程序遵循该销售机构的规定；</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）投资者终止</w:t>
      </w:r>
      <w:r>
        <w:rPr>
          <w:rFonts w:ascii="宋体" w:hAnsi="宋体" w:cs="宋体"/>
        </w:rPr>
        <w:t>“</w:t>
      </w:r>
      <w:r>
        <w:rPr>
          <w:rFonts w:ascii="宋体" w:hAnsi="宋体" w:cs="宋体"/>
        </w:rPr>
        <w:t>定期定额投资业务</w:t>
      </w:r>
      <w:r>
        <w:rPr>
          <w:rFonts w:ascii="宋体" w:hAnsi="宋体" w:cs="宋体"/>
        </w:rPr>
        <w:t>”</w:t>
      </w:r>
      <w:r>
        <w:rPr>
          <w:rFonts w:ascii="宋体" w:hAnsi="宋体" w:cs="宋体"/>
        </w:rPr>
        <w:t>，须携带本人有效身份证件及相关凭证到原销售机构申请办理业务终止，具体办理程序遵循该销售机构的有关规定；</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w:t>
      </w:r>
      <w:r>
        <w:rPr>
          <w:rFonts w:ascii="宋体" w:hAnsi="宋体" w:cs="宋体"/>
        </w:rPr>
        <w:t>“</w:t>
      </w:r>
      <w:r>
        <w:rPr>
          <w:rFonts w:ascii="宋体" w:hAnsi="宋体" w:cs="宋体"/>
        </w:rPr>
        <w:t>定期定额投资业务</w:t>
      </w:r>
      <w:r>
        <w:rPr>
          <w:rFonts w:ascii="宋体" w:hAnsi="宋体" w:cs="宋体"/>
        </w:rPr>
        <w:t>”</w:t>
      </w:r>
      <w:r>
        <w:rPr>
          <w:rFonts w:ascii="宋体" w:hAnsi="宋体" w:cs="宋体"/>
        </w:rPr>
        <w:t>变更和终止的生效日遵循各销售机构的具体规定。</w:t>
      </w:r>
      <w:r>
        <w:rPr>
          <w:rFonts w:ascii="宋体" w:hAnsi="宋体" w:cs="宋体"/>
        </w:rPr>
        <w:cr/>
        <w:t xml:space="preserve">    </w:t>
      </w:r>
      <w:r>
        <w:rPr>
          <w:rFonts w:ascii="宋体" w:hAnsi="宋体" w:cs="宋体"/>
        </w:rPr>
        <w:t>（九）办理机构：本</w:t>
      </w:r>
      <w:r>
        <w:rPr>
          <w:rFonts w:ascii="宋体" w:hAnsi="宋体" w:cs="宋体"/>
        </w:rPr>
        <w:t>公司直销中心和各代销机构，具体请参见</w:t>
      </w:r>
      <w:r>
        <w:rPr>
          <w:rFonts w:ascii="宋体" w:hAnsi="宋体" w:cs="宋体"/>
        </w:rPr>
        <w:t>“</w:t>
      </w:r>
      <w:r>
        <w:rPr>
          <w:rFonts w:ascii="宋体" w:hAnsi="宋体" w:cs="宋体"/>
        </w:rPr>
        <w:t>基金销售机构</w:t>
      </w:r>
      <w:r>
        <w:rPr>
          <w:rFonts w:ascii="宋体" w:hAnsi="宋体" w:cs="宋体"/>
        </w:rPr>
        <w:t>”</w:t>
      </w:r>
      <w:r>
        <w:rPr>
          <w:rFonts w:ascii="宋体" w:hAnsi="宋体" w:cs="宋体"/>
        </w:rPr>
        <w:t>。</w:t>
      </w:r>
    </w:p>
    <w:p w:rsidR="00C474B5" w:rsidRDefault="0076676F">
      <w:pPr>
        <w:pStyle w:val="1"/>
      </w:pPr>
      <w:r>
        <w:rPr>
          <w:rFonts w:ascii="宋体" w:hAnsi="宋体" w:cs="宋体"/>
        </w:rPr>
        <w:t xml:space="preserve">7 </w:t>
      </w:r>
      <w:r>
        <w:rPr>
          <w:rFonts w:ascii="宋体" w:hAnsi="宋体" w:cs="宋体"/>
        </w:rPr>
        <w:t>基金销售机构</w:t>
      </w:r>
    </w:p>
    <w:p w:rsidR="00C474B5" w:rsidRDefault="00C474B5"/>
    <w:p w:rsidR="00C474B5" w:rsidRDefault="0076676F">
      <w:pPr>
        <w:pStyle w:val="2"/>
      </w:pPr>
      <w:r>
        <w:rPr>
          <w:rFonts w:ascii="宋体" w:hAnsi="宋体" w:cs="宋体"/>
        </w:rPr>
        <w:t xml:space="preserve">7.1 </w:t>
      </w:r>
      <w:r>
        <w:rPr>
          <w:rFonts w:ascii="宋体" w:hAnsi="宋体" w:cs="宋体"/>
        </w:rPr>
        <w:t>场外销售机构</w:t>
      </w:r>
    </w:p>
    <w:p w:rsidR="00C474B5" w:rsidRDefault="0076676F">
      <w:r>
        <w:rPr>
          <w:rFonts w:ascii="宋体" w:hAnsi="宋体" w:cs="宋体"/>
          <w:b/>
        </w:rPr>
        <w:t xml:space="preserve">7.1.1 </w:t>
      </w:r>
      <w:r>
        <w:rPr>
          <w:rFonts w:ascii="宋体" w:hAnsi="宋体" w:cs="宋体"/>
          <w:b/>
        </w:rPr>
        <w:t>直销机构</w:t>
      </w:r>
    </w:p>
    <w:p w:rsidR="00C474B5" w:rsidRDefault="0076676F">
      <w:pPr>
        <w:jc w:val="left"/>
      </w:pPr>
      <w:r>
        <w:rPr>
          <w:rFonts w:ascii="宋体" w:hAnsi="宋体" w:cs="宋体"/>
        </w:rPr>
        <w:t xml:space="preserve">    </w:t>
      </w:r>
      <w:r>
        <w:rPr>
          <w:rFonts w:ascii="宋体" w:hAnsi="宋体" w:cs="宋体"/>
        </w:rPr>
        <w:t>申万菱信基金管理有限公司直销中心</w:t>
      </w:r>
      <w:r>
        <w:rPr>
          <w:rFonts w:ascii="宋体" w:hAnsi="宋体" w:cs="宋体"/>
        </w:rPr>
        <w:cr/>
        <w:t xml:space="preserve">    </w:t>
      </w:r>
      <w:r>
        <w:rPr>
          <w:rFonts w:ascii="宋体" w:hAnsi="宋体" w:cs="宋体"/>
        </w:rPr>
        <w:t>住所：上海市中山南路</w:t>
      </w:r>
      <w:r>
        <w:rPr>
          <w:rFonts w:ascii="宋体" w:hAnsi="宋体" w:cs="宋体"/>
        </w:rPr>
        <w:t xml:space="preserve"> 100 </w:t>
      </w:r>
      <w:r>
        <w:rPr>
          <w:rFonts w:ascii="宋体" w:hAnsi="宋体" w:cs="宋体"/>
        </w:rPr>
        <w:t>号</w:t>
      </w:r>
      <w:r>
        <w:rPr>
          <w:rFonts w:ascii="宋体" w:hAnsi="宋体" w:cs="宋体"/>
        </w:rPr>
        <w:t xml:space="preserve"> 10 </w:t>
      </w:r>
      <w:r>
        <w:rPr>
          <w:rFonts w:ascii="宋体" w:hAnsi="宋体" w:cs="宋体"/>
        </w:rPr>
        <w:t>层</w:t>
      </w:r>
      <w:r>
        <w:rPr>
          <w:rFonts w:ascii="宋体" w:hAnsi="宋体" w:cs="宋体"/>
        </w:rPr>
        <w:cr/>
        <w:t xml:space="preserve">    </w:t>
      </w:r>
      <w:r>
        <w:rPr>
          <w:rFonts w:ascii="宋体" w:hAnsi="宋体" w:cs="宋体"/>
        </w:rPr>
        <w:t>办公地址：上海市中山南路</w:t>
      </w:r>
      <w:r>
        <w:rPr>
          <w:rFonts w:ascii="宋体" w:hAnsi="宋体" w:cs="宋体"/>
        </w:rPr>
        <w:t xml:space="preserve"> 100 </w:t>
      </w:r>
      <w:r>
        <w:rPr>
          <w:rFonts w:ascii="宋体" w:hAnsi="宋体" w:cs="宋体"/>
        </w:rPr>
        <w:t>号</w:t>
      </w:r>
      <w:r>
        <w:rPr>
          <w:rFonts w:ascii="宋体" w:hAnsi="宋体" w:cs="宋体"/>
        </w:rPr>
        <w:t xml:space="preserve"> 10 </w:t>
      </w:r>
      <w:r>
        <w:rPr>
          <w:rFonts w:ascii="宋体" w:hAnsi="宋体" w:cs="宋体"/>
        </w:rPr>
        <w:t>层</w:t>
      </w:r>
      <w:r>
        <w:rPr>
          <w:rFonts w:ascii="宋体" w:hAnsi="宋体" w:cs="宋体"/>
        </w:rPr>
        <w:cr/>
        <w:t xml:space="preserve">    </w:t>
      </w:r>
      <w:r>
        <w:rPr>
          <w:rFonts w:ascii="宋体" w:hAnsi="宋体" w:cs="宋体"/>
        </w:rPr>
        <w:t>法定代表人：陈晓升</w:t>
      </w:r>
      <w:r>
        <w:rPr>
          <w:rFonts w:ascii="宋体" w:hAnsi="宋体" w:cs="宋体"/>
        </w:rPr>
        <w:cr/>
        <w:t xml:space="preserve">    </w:t>
      </w:r>
      <w:r>
        <w:rPr>
          <w:rFonts w:ascii="宋体" w:hAnsi="宋体" w:cs="宋体"/>
        </w:rPr>
        <w:t>电话：</w:t>
      </w:r>
      <w:r>
        <w:rPr>
          <w:rFonts w:ascii="宋体" w:hAnsi="宋体" w:cs="宋体"/>
        </w:rPr>
        <w:t>86-21-23261188</w:t>
      </w:r>
      <w:r>
        <w:rPr>
          <w:rFonts w:ascii="宋体" w:hAnsi="宋体" w:cs="宋体"/>
        </w:rPr>
        <w:cr/>
        <w:t xml:space="preserve">    </w:t>
      </w:r>
      <w:r>
        <w:rPr>
          <w:rFonts w:ascii="宋体" w:hAnsi="宋体" w:cs="宋体"/>
        </w:rPr>
        <w:t>传真：</w:t>
      </w:r>
      <w:r>
        <w:rPr>
          <w:rFonts w:ascii="宋体" w:hAnsi="宋体" w:cs="宋体"/>
        </w:rPr>
        <w:t>86-21-23261199</w:t>
      </w:r>
      <w:r>
        <w:rPr>
          <w:rFonts w:ascii="宋体" w:hAnsi="宋体" w:cs="宋体"/>
        </w:rPr>
        <w:cr/>
        <w:t xml:space="preserve">    </w:t>
      </w:r>
      <w:r>
        <w:rPr>
          <w:rFonts w:ascii="宋体" w:hAnsi="宋体" w:cs="宋体"/>
        </w:rPr>
        <w:t>联系人：张芸茜</w:t>
      </w:r>
      <w:r>
        <w:rPr>
          <w:rFonts w:ascii="宋体" w:hAnsi="宋体" w:cs="宋体"/>
        </w:rPr>
        <w:cr/>
        <w:t xml:space="preserve">    </w:t>
      </w:r>
      <w:r>
        <w:rPr>
          <w:rFonts w:ascii="宋体" w:hAnsi="宋体" w:cs="宋体"/>
        </w:rPr>
        <w:t>客户服务电话：</w:t>
      </w:r>
      <w:r>
        <w:rPr>
          <w:rFonts w:ascii="宋体" w:hAnsi="宋体" w:cs="宋体"/>
        </w:rPr>
        <w:t>4008808588</w:t>
      </w:r>
      <w:r>
        <w:rPr>
          <w:rFonts w:ascii="宋体" w:hAnsi="宋体" w:cs="宋体"/>
        </w:rPr>
        <w:t>（免长途话费）或</w:t>
      </w:r>
      <w:r>
        <w:rPr>
          <w:rFonts w:ascii="宋体" w:hAnsi="宋体" w:cs="宋体"/>
        </w:rPr>
        <w:t xml:space="preserve"> 86-21-962299</w:t>
      </w:r>
      <w:r>
        <w:rPr>
          <w:rFonts w:ascii="宋体" w:hAnsi="宋体" w:cs="宋体"/>
        </w:rPr>
        <w:cr/>
        <w:t xml:space="preserve">    </w:t>
      </w:r>
      <w:r>
        <w:rPr>
          <w:rFonts w:ascii="宋体" w:hAnsi="宋体" w:cs="宋体"/>
        </w:rPr>
        <w:t>网址：</w:t>
      </w:r>
      <w:r>
        <w:rPr>
          <w:rFonts w:ascii="宋体" w:hAnsi="宋体" w:cs="宋体"/>
        </w:rPr>
        <w:t>w</w:t>
      </w:r>
      <w:r>
        <w:rPr>
          <w:rFonts w:ascii="宋体" w:hAnsi="宋体" w:cs="宋体"/>
        </w:rPr>
        <w:t>ww.swsmu.com</w:t>
      </w:r>
      <w:r>
        <w:rPr>
          <w:rFonts w:ascii="宋体" w:hAnsi="宋体" w:cs="宋体"/>
        </w:rPr>
        <w:cr/>
        <w:t xml:space="preserve">    </w:t>
      </w:r>
      <w:r>
        <w:rPr>
          <w:rFonts w:ascii="宋体" w:hAnsi="宋体" w:cs="宋体"/>
        </w:rPr>
        <w:t>电子邮件：</w:t>
      </w:r>
      <w:r>
        <w:rPr>
          <w:rFonts w:ascii="宋体" w:hAnsi="宋体" w:cs="宋体"/>
        </w:rPr>
        <w:t>service@swsmu.com</w:t>
      </w:r>
    </w:p>
    <w:p w:rsidR="00C474B5" w:rsidRDefault="00C474B5"/>
    <w:p w:rsidR="00C474B5" w:rsidRDefault="0076676F">
      <w:r>
        <w:rPr>
          <w:rFonts w:ascii="宋体" w:hAnsi="宋体" w:cs="宋体"/>
          <w:b/>
        </w:rPr>
        <w:t xml:space="preserve">7.1.2 </w:t>
      </w:r>
      <w:r>
        <w:rPr>
          <w:rFonts w:ascii="宋体" w:hAnsi="宋体" w:cs="宋体"/>
          <w:b/>
        </w:rPr>
        <w:t>场外非直销机构</w:t>
      </w:r>
    </w:p>
    <w:p w:rsidR="00C474B5" w:rsidRDefault="0076676F">
      <w:pPr>
        <w:jc w:val="left"/>
        <w:rPr>
          <w:rFonts w:ascii="宋体" w:hAnsi="宋体" w:cs="宋体"/>
        </w:rPr>
      </w:pPr>
      <w:r>
        <w:rPr>
          <w:rFonts w:ascii="宋体" w:hAnsi="宋体" w:cs="宋体"/>
        </w:rPr>
        <w:t xml:space="preserve">    </w:t>
      </w:r>
    </w:p>
    <w:tbl>
      <w:tblPr>
        <w:tblW w:w="7549" w:type="dxa"/>
        <w:tblInd w:w="-5" w:type="dxa"/>
        <w:tblLook w:val="04A0"/>
      </w:tblPr>
      <w:tblGrid>
        <w:gridCol w:w="2338"/>
        <w:gridCol w:w="2351"/>
        <w:gridCol w:w="2860"/>
      </w:tblGrid>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销售机构简称</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客服电话</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官方网站</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工商银行</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95588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www.icbc.com.cn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鼎信汇金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400-158-5050</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www.tl50.com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和讯信息</w:t>
            </w:r>
            <w:r>
              <w:rPr>
                <w:rFonts w:ascii="宋体" w:hAnsi="宋体" w:cs="宋体" w:hint="eastAsia"/>
                <w:color w:val="000000"/>
                <w:kern w:val="0"/>
                <w:sz w:val="18"/>
                <w:szCs w:val="18"/>
              </w:rPr>
              <w:br/>
            </w:r>
            <w:r>
              <w:rPr>
                <w:rFonts w:ascii="宋体" w:hAnsi="宋体" w:cs="宋体" w:hint="eastAsia"/>
                <w:color w:val="000000"/>
                <w:kern w:val="0"/>
                <w:sz w:val="18"/>
                <w:szCs w:val="18"/>
              </w:rPr>
              <w:t>（理财客）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400-920-0022</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www.licaike.com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江苏汇林保大</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025-66046166</w:t>
            </w:r>
            <w:r>
              <w:rPr>
                <w:rFonts w:ascii="宋体" w:hAnsi="宋体" w:cs="宋体" w:hint="eastAsia"/>
                <w:color w:val="000000"/>
                <w:kern w:val="0"/>
                <w:sz w:val="18"/>
                <w:szCs w:val="18"/>
              </w:rPr>
              <w:t>转</w:t>
            </w:r>
            <w:r>
              <w:rPr>
                <w:rFonts w:ascii="宋体" w:hAnsi="宋体" w:cs="宋体" w:hint="eastAsia"/>
                <w:color w:val="000000"/>
                <w:kern w:val="0"/>
                <w:sz w:val="18"/>
                <w:szCs w:val="18"/>
              </w:rPr>
              <w:t>849</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www.huilinbd.com</w:t>
            </w:r>
          </w:p>
        </w:tc>
      </w:tr>
      <w:tr w:rsidR="00C474B5">
        <w:trPr>
          <w:trHeight w:val="315"/>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贵文基金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0851-85407888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www.gwcaifu.com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腾安基金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4000-890-555</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www.txfund.com</w:t>
            </w:r>
          </w:p>
        </w:tc>
      </w:tr>
      <w:tr w:rsidR="00C474B5">
        <w:trPr>
          <w:trHeight w:val="315"/>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度小满</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95055</w:t>
            </w:r>
            <w:r>
              <w:rPr>
                <w:rFonts w:ascii="宋体" w:hAnsi="宋体" w:cs="宋体" w:hint="eastAsia"/>
                <w:color w:val="000000"/>
                <w:kern w:val="0"/>
                <w:sz w:val="18"/>
                <w:szCs w:val="18"/>
              </w:rPr>
              <w:t>转</w:t>
            </w:r>
            <w:r>
              <w:rPr>
                <w:rFonts w:ascii="宋体" w:hAnsi="宋体" w:cs="宋体" w:hint="eastAsia"/>
                <w:color w:val="000000"/>
                <w:kern w:val="0"/>
                <w:sz w:val="18"/>
                <w:szCs w:val="18"/>
              </w:rPr>
              <w:t>4</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www.duxiaomanfund.com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博时财富</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400-610-5568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www.boserawealth.com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诺亚正行</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400-821-5399</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www.noah-fund.com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众禄基金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400-678-8887</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www.zlfund.cn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天天基金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95021</w:t>
            </w:r>
            <w:r>
              <w:rPr>
                <w:rFonts w:ascii="宋体" w:hAnsi="宋体" w:cs="宋体" w:hint="eastAsia"/>
                <w:color w:val="000000"/>
                <w:kern w:val="0"/>
                <w:sz w:val="18"/>
                <w:szCs w:val="18"/>
              </w:rPr>
              <w:t>或</w:t>
            </w:r>
            <w:r>
              <w:rPr>
                <w:rFonts w:ascii="宋体" w:hAnsi="宋体" w:cs="宋体" w:hint="eastAsia"/>
                <w:color w:val="000000"/>
                <w:kern w:val="0"/>
                <w:sz w:val="18"/>
                <w:szCs w:val="18"/>
              </w:rPr>
              <w:t>400-181-8188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www.1234567.com.cn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好买基金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400-840-1788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zt.howbuy.com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蚂蚁基金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95188</w:t>
            </w:r>
            <w:r>
              <w:rPr>
                <w:rFonts w:ascii="宋体" w:hAnsi="宋体" w:cs="宋体" w:hint="eastAsia"/>
                <w:color w:val="000000"/>
                <w:kern w:val="0"/>
                <w:sz w:val="18"/>
                <w:szCs w:val="18"/>
              </w:rPr>
              <w:t>转</w:t>
            </w:r>
            <w:r>
              <w:rPr>
                <w:rFonts w:ascii="宋体" w:hAnsi="宋体" w:cs="宋体" w:hint="eastAsia"/>
                <w:color w:val="000000"/>
                <w:kern w:val="0"/>
                <w:sz w:val="18"/>
                <w:szCs w:val="18"/>
              </w:rPr>
              <w:t>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www.fund123.cn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长量基金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400-820-2899</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www.erichfund.com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浙江同花顺</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952555</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www.5ifund.com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利得基金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400-032-5885</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www.leadfund.com.cn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嘉实财富</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400-021-8850</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www.harvestwm.cn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创金启富</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010-66154828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www.5irich.com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普益基金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400-080-3388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www.puyifund.com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宜信普泽</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400-609-9200</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www.yixinfund.com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南京苏宁</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95177</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www.snjijin.com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通华财富</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400-101-9301</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www.tonghuafund.com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华源证券（鑫理财）</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95305</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www.jzsec.com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汇成基金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400-619-9059</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www.hcfunds.com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大智慧基金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021-20292031</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www.wg.com.cn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济安财富</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400-673-7010</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www.jianfortune.com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万得基金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400-799-1888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www.520fund.com.cn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联泰基金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400-118-1188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www.66liantai.com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泰信财富</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400-004-8821</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www.taixincf.com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基煜基金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400-820-5369</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www.jiyufund.com.cn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中正达广</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400-6767-523</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www.zhongzhengmoney.com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攀赢基金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8621-68889082</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www.pytz.cn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盈米基金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020-89629066</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www.yingmi.cn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和耕传承</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4000-555-671</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www.hgccpb.com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奕丰基金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400-684-0500</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www.ifastps.com.cn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爱建基金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400-803-2733</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www.ajwm.com.cn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京东肯特瑞</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400-098-8511</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kenterui.jd.com</w:t>
            </w:r>
          </w:p>
        </w:tc>
      </w:tr>
      <w:tr w:rsidR="00C474B5">
        <w:trPr>
          <w:trHeight w:val="315"/>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雪球基金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400-159-9288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www.danjuanfunds.com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深圳前海排排网</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400-666-7388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www.simuwang.com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华夏财富</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400-817-5666</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www.amcfortune.com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中信期货</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400-990-8826</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www.citicsf.com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中信建投证券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400-888-8108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www.csc108.com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中信证券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95548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www.cs.ecitic.com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银河证券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95551</w:t>
            </w:r>
            <w:r>
              <w:rPr>
                <w:rFonts w:ascii="宋体" w:hAnsi="宋体" w:cs="宋体" w:hint="eastAsia"/>
                <w:color w:val="000000"/>
                <w:kern w:val="0"/>
                <w:sz w:val="18"/>
                <w:szCs w:val="18"/>
              </w:rPr>
              <w:t>或</w:t>
            </w:r>
            <w:r>
              <w:rPr>
                <w:rFonts w:ascii="宋体" w:hAnsi="宋体" w:cs="宋体" w:hint="eastAsia"/>
                <w:color w:val="000000"/>
                <w:kern w:val="0"/>
                <w:sz w:val="18"/>
                <w:szCs w:val="18"/>
              </w:rPr>
              <w:t>400-888-8888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www.chinastock.com.cn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国泰海通</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95521</w:t>
            </w:r>
            <w:r>
              <w:rPr>
                <w:rFonts w:ascii="宋体" w:hAnsi="宋体" w:cs="宋体" w:hint="eastAsia"/>
                <w:color w:val="000000"/>
                <w:kern w:val="0"/>
                <w:sz w:val="18"/>
                <w:szCs w:val="18"/>
              </w:rPr>
              <w:t>或</w:t>
            </w:r>
            <w:r>
              <w:rPr>
                <w:rFonts w:ascii="宋体" w:hAnsi="宋体" w:cs="宋体" w:hint="eastAsia"/>
                <w:color w:val="000000"/>
                <w:kern w:val="0"/>
                <w:sz w:val="18"/>
                <w:szCs w:val="18"/>
              </w:rPr>
              <w:t>400-888-8666</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www.gtht.com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申万宏源证券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95523</w:t>
            </w:r>
            <w:r>
              <w:rPr>
                <w:rFonts w:ascii="宋体" w:hAnsi="宋体" w:cs="宋体" w:hint="eastAsia"/>
                <w:color w:val="000000"/>
                <w:kern w:val="0"/>
                <w:sz w:val="18"/>
                <w:szCs w:val="18"/>
              </w:rPr>
              <w:t>或</w:t>
            </w:r>
            <w:r>
              <w:rPr>
                <w:rFonts w:ascii="宋体" w:hAnsi="宋体" w:cs="宋体" w:hint="eastAsia"/>
                <w:color w:val="000000"/>
                <w:kern w:val="0"/>
                <w:sz w:val="18"/>
                <w:szCs w:val="18"/>
              </w:rPr>
              <w:t>400-889-5523</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www.swhysc.com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长江证券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95579</w:t>
            </w:r>
            <w:r>
              <w:rPr>
                <w:rFonts w:ascii="宋体" w:hAnsi="宋体" w:cs="宋体" w:hint="eastAsia"/>
                <w:color w:val="000000"/>
                <w:kern w:val="0"/>
                <w:sz w:val="18"/>
                <w:szCs w:val="18"/>
              </w:rPr>
              <w:t>或</w:t>
            </w:r>
            <w:r>
              <w:rPr>
                <w:rFonts w:ascii="宋体" w:hAnsi="宋体" w:cs="宋体" w:hint="eastAsia"/>
                <w:color w:val="000000"/>
                <w:kern w:val="0"/>
                <w:sz w:val="18"/>
                <w:szCs w:val="18"/>
              </w:rPr>
              <w:t>400-888-8999</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www.95579.com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国投证券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95517</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www.essence.com.cn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中信证券</w:t>
            </w:r>
            <w:r>
              <w:rPr>
                <w:rFonts w:ascii="宋体" w:hAnsi="宋体" w:cs="宋体" w:hint="eastAsia"/>
                <w:color w:val="000000"/>
                <w:kern w:val="0"/>
                <w:sz w:val="18"/>
                <w:szCs w:val="18"/>
              </w:rPr>
              <w:t>(</w:t>
            </w:r>
            <w:r>
              <w:rPr>
                <w:rFonts w:ascii="宋体" w:hAnsi="宋体" w:cs="宋体" w:hint="eastAsia"/>
                <w:color w:val="000000"/>
                <w:kern w:val="0"/>
                <w:sz w:val="18"/>
                <w:szCs w:val="18"/>
              </w:rPr>
              <w:t>山东</w:t>
            </w:r>
            <w:r>
              <w:rPr>
                <w:rFonts w:ascii="宋体" w:hAnsi="宋体" w:cs="宋体" w:hint="eastAsia"/>
                <w:color w:val="000000"/>
                <w:kern w:val="0"/>
                <w:sz w:val="18"/>
                <w:szCs w:val="18"/>
              </w:rPr>
              <w:t>)</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95548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www.cs.ecitic.com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中信证券</w:t>
            </w:r>
            <w:r>
              <w:rPr>
                <w:rFonts w:ascii="宋体" w:hAnsi="宋体" w:cs="宋体" w:hint="eastAsia"/>
                <w:color w:val="000000"/>
                <w:kern w:val="0"/>
                <w:sz w:val="18"/>
                <w:szCs w:val="18"/>
              </w:rPr>
              <w:t>(</w:t>
            </w:r>
            <w:r>
              <w:rPr>
                <w:rFonts w:ascii="宋体" w:hAnsi="宋体" w:cs="宋体" w:hint="eastAsia"/>
                <w:color w:val="000000"/>
                <w:kern w:val="0"/>
                <w:sz w:val="18"/>
                <w:szCs w:val="18"/>
              </w:rPr>
              <w:t>华南</w:t>
            </w:r>
            <w:r>
              <w:rPr>
                <w:rFonts w:ascii="宋体" w:hAnsi="宋体" w:cs="宋体" w:hint="eastAsia"/>
                <w:color w:val="000000"/>
                <w:kern w:val="0"/>
                <w:sz w:val="18"/>
                <w:szCs w:val="18"/>
              </w:rPr>
              <w:t>)</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95548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 xml:space="preserve">www.gzs.com.cn </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国联证券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95570</w:t>
            </w:r>
            <w:r>
              <w:rPr>
                <w:rFonts w:ascii="宋体" w:hAnsi="宋体" w:cs="宋体" w:hint="eastAsia"/>
                <w:color w:val="000000"/>
                <w:kern w:val="0"/>
                <w:sz w:val="18"/>
                <w:szCs w:val="18"/>
              </w:rPr>
              <w:t>或</w:t>
            </w:r>
            <w:r>
              <w:rPr>
                <w:rFonts w:ascii="宋体" w:hAnsi="宋体" w:cs="宋体" w:hint="eastAsia"/>
                <w:color w:val="000000"/>
                <w:kern w:val="0"/>
                <w:sz w:val="18"/>
                <w:szCs w:val="18"/>
              </w:rPr>
              <w:t>400-888-5288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www.glsc.com.cn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东莞证券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95328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www.dgzq.com.cn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华西证券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95584</w:t>
            </w:r>
            <w:r>
              <w:rPr>
                <w:rFonts w:ascii="宋体" w:hAnsi="宋体" w:cs="宋体" w:hint="eastAsia"/>
                <w:color w:val="000000"/>
                <w:kern w:val="0"/>
                <w:sz w:val="18"/>
                <w:szCs w:val="18"/>
              </w:rPr>
              <w:t>或</w:t>
            </w:r>
            <w:r>
              <w:rPr>
                <w:rFonts w:ascii="宋体" w:hAnsi="宋体" w:cs="宋体" w:hint="eastAsia"/>
                <w:color w:val="000000"/>
                <w:kern w:val="0"/>
                <w:sz w:val="18"/>
                <w:szCs w:val="18"/>
              </w:rPr>
              <w:t>400-888-8818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www.hx168.com.cn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申万宏源西部证券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95523</w:t>
            </w:r>
            <w:r>
              <w:rPr>
                <w:rFonts w:ascii="宋体" w:hAnsi="宋体" w:cs="宋体" w:hint="eastAsia"/>
                <w:color w:val="000000"/>
                <w:kern w:val="0"/>
                <w:sz w:val="18"/>
                <w:szCs w:val="18"/>
              </w:rPr>
              <w:t>或</w:t>
            </w:r>
            <w:r>
              <w:rPr>
                <w:rFonts w:ascii="宋体" w:hAnsi="宋体" w:cs="宋体" w:hint="eastAsia"/>
                <w:color w:val="000000"/>
                <w:kern w:val="0"/>
                <w:sz w:val="18"/>
                <w:szCs w:val="18"/>
              </w:rPr>
              <w:t>400-889-5523</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www.swhysc.com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中泰证券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95538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www.zts.com.cn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西部证券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95582</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www.west95582.com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中金财富证券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95532</w:t>
            </w:r>
            <w:r>
              <w:rPr>
                <w:rFonts w:ascii="宋体" w:hAnsi="宋体" w:cs="宋体" w:hint="eastAsia"/>
                <w:color w:val="000000"/>
                <w:kern w:val="0"/>
                <w:sz w:val="18"/>
                <w:szCs w:val="18"/>
              </w:rPr>
              <w:t>或</w:t>
            </w:r>
            <w:r>
              <w:rPr>
                <w:rFonts w:ascii="宋体" w:hAnsi="宋体" w:cs="宋体" w:hint="eastAsia"/>
                <w:color w:val="000000"/>
                <w:kern w:val="0"/>
                <w:sz w:val="18"/>
                <w:szCs w:val="18"/>
              </w:rPr>
              <w:t>400-600-8008</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 xml:space="preserve">www.ciccwm.com </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东方财富证券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95357</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www.xzsec.com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国金证券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95310</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www.gjzq.com.cn</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太平洋证券</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95397</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 xml:space="preserve">www.tpyzq.com </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华瑞保险</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952303</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www.huaruisales.com</w:t>
            </w:r>
          </w:p>
        </w:tc>
      </w:tr>
      <w:tr w:rsidR="00C474B5">
        <w:trPr>
          <w:trHeight w:val="280"/>
        </w:trPr>
        <w:tc>
          <w:tcPr>
            <w:tcW w:w="233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阳光人寿保险</w:t>
            </w:r>
          </w:p>
        </w:tc>
        <w:tc>
          <w:tcPr>
            <w:tcW w:w="235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95510</w:t>
            </w: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474B5" w:rsidRDefault="0076676F">
            <w:pPr>
              <w:widowControl/>
              <w:spacing w:line="240" w:lineRule="auto"/>
              <w:jc w:val="center"/>
              <w:rPr>
                <w:rFonts w:ascii="宋体" w:hAnsi="宋体" w:cs="宋体"/>
                <w:color w:val="000000"/>
                <w:kern w:val="0"/>
                <w:sz w:val="18"/>
                <w:szCs w:val="18"/>
              </w:rPr>
            </w:pPr>
            <w:r>
              <w:rPr>
                <w:rFonts w:ascii="宋体" w:hAnsi="宋体" w:cs="宋体" w:hint="eastAsia"/>
                <w:color w:val="000000"/>
                <w:kern w:val="0"/>
                <w:sz w:val="18"/>
                <w:szCs w:val="18"/>
              </w:rPr>
              <w:t>www.sinosig.com</w:t>
            </w:r>
          </w:p>
        </w:tc>
      </w:tr>
    </w:tbl>
    <w:p w:rsidR="00C474B5" w:rsidRDefault="00C474B5">
      <w:pPr>
        <w:jc w:val="left"/>
        <w:rPr>
          <w:rFonts w:ascii="宋体" w:hAnsi="宋体" w:cs="宋体"/>
        </w:rPr>
      </w:pPr>
    </w:p>
    <w:p w:rsidR="00C474B5" w:rsidRDefault="00C474B5">
      <w:pPr>
        <w:jc w:val="left"/>
        <w:rPr>
          <w:rFonts w:ascii="宋体" w:hAnsi="宋体" w:cs="宋体"/>
        </w:rPr>
      </w:pPr>
    </w:p>
    <w:p w:rsidR="00C474B5" w:rsidRDefault="00C474B5">
      <w:pPr>
        <w:jc w:val="left"/>
        <w:rPr>
          <w:rFonts w:ascii="宋体" w:hAnsi="宋体" w:cs="宋体"/>
        </w:rPr>
      </w:pPr>
    </w:p>
    <w:p w:rsidR="00C474B5" w:rsidRDefault="0076676F">
      <w:pPr>
        <w:pStyle w:val="1"/>
      </w:pPr>
      <w:r>
        <w:rPr>
          <w:rFonts w:ascii="宋体" w:hAnsi="宋体" w:cs="宋体"/>
        </w:rPr>
        <w:t xml:space="preserve">8 </w:t>
      </w:r>
      <w:r>
        <w:rPr>
          <w:rFonts w:ascii="宋体" w:hAnsi="宋体" w:cs="宋体"/>
        </w:rPr>
        <w:t>基金份额净值公告</w:t>
      </w:r>
      <w:r>
        <w:rPr>
          <w:rFonts w:ascii="宋体" w:hAnsi="宋体" w:cs="宋体"/>
        </w:rPr>
        <w:t>/</w:t>
      </w:r>
      <w:r>
        <w:rPr>
          <w:rFonts w:ascii="宋体" w:hAnsi="宋体" w:cs="宋体"/>
        </w:rPr>
        <w:t>基金收益公告的披露安排</w:t>
      </w:r>
    </w:p>
    <w:p w:rsidR="00C474B5" w:rsidRDefault="0076676F">
      <w:pPr>
        <w:jc w:val="left"/>
      </w:pPr>
      <w:r>
        <w:rPr>
          <w:rFonts w:ascii="宋体" w:hAnsi="宋体" w:cs="宋体"/>
        </w:rPr>
        <w:t xml:space="preserve">    </w:t>
      </w:r>
      <w:r>
        <w:rPr>
          <w:rFonts w:ascii="宋体" w:hAnsi="宋体" w:cs="宋体"/>
        </w:rPr>
        <w:t>在开始办理基金份额申购或者赎回后，基金管理人应当在不晚于每个开放日的次日，通过规定网站、基金销售机构网站或者营业网点，披露开放日的各类基金份额净值和基金份额累计净值。</w:t>
      </w:r>
      <w:r>
        <w:rPr>
          <w:rFonts w:ascii="宋体" w:hAnsi="宋体" w:cs="宋体"/>
        </w:rPr>
        <w:cr/>
        <w:t xml:space="preserve">    </w:t>
      </w:r>
      <w:r>
        <w:rPr>
          <w:rFonts w:ascii="宋体" w:hAnsi="宋体" w:cs="宋体"/>
        </w:rPr>
        <w:t>基金管理人应当在不晚于半年度和年度最后一日的次日，在规定网站披露半年度和年度最后一日的各类基金份额净值和基金份额累计净值。</w:t>
      </w:r>
    </w:p>
    <w:p w:rsidR="00C474B5" w:rsidRDefault="0076676F">
      <w:pPr>
        <w:pStyle w:val="1"/>
      </w:pPr>
      <w:r>
        <w:rPr>
          <w:rFonts w:ascii="宋体" w:hAnsi="宋体" w:cs="宋体"/>
        </w:rPr>
        <w:t xml:space="preserve">9 </w:t>
      </w:r>
      <w:r>
        <w:rPr>
          <w:rFonts w:ascii="宋体" w:hAnsi="宋体" w:cs="宋体"/>
        </w:rPr>
        <w:t>其他需要提示的事项</w:t>
      </w:r>
    </w:p>
    <w:p w:rsidR="00C474B5" w:rsidRDefault="0076676F">
      <w:pPr>
        <w:jc w:val="left"/>
      </w:pPr>
      <w:r>
        <w:rPr>
          <w:rFonts w:ascii="宋体" w:hAnsi="宋体" w:cs="宋体"/>
        </w:rPr>
        <w:t xml:space="preserve">    </w:t>
      </w:r>
      <w:r>
        <w:rPr>
          <w:rFonts w:ascii="宋体" w:hAnsi="宋体" w:cs="宋体"/>
        </w:rPr>
        <w:t>本公告仅对本基金开放日常申购、转换和定投等有关事项予以说明。投资者欲了解本基金的详细情况，请认真阅读刊登在本公司网站（</w:t>
      </w:r>
      <w:r>
        <w:rPr>
          <w:rFonts w:ascii="宋体" w:hAnsi="宋体" w:cs="宋体"/>
        </w:rPr>
        <w:t>www.swsmu.com</w:t>
      </w:r>
      <w:r>
        <w:rPr>
          <w:rFonts w:ascii="宋体" w:hAnsi="宋体" w:cs="宋体"/>
        </w:rPr>
        <w:t>）、基金电子披露网站（</w:t>
      </w:r>
      <w:r>
        <w:rPr>
          <w:rFonts w:ascii="宋体" w:hAnsi="宋体" w:cs="宋体"/>
        </w:rPr>
        <w:t>http://eid.csrc.org.cn/fund</w:t>
      </w:r>
      <w:r>
        <w:rPr>
          <w:rFonts w:ascii="宋体" w:hAnsi="宋体" w:cs="宋体"/>
        </w:rPr>
        <w:t>）的本基金的基金合同、招募说明书等法律文件。</w:t>
      </w:r>
      <w:r>
        <w:rPr>
          <w:rFonts w:ascii="宋体" w:hAnsi="宋体" w:cs="宋体"/>
        </w:rPr>
        <w:cr/>
        <w:t xml:space="preserve">    </w:t>
      </w:r>
      <w:r>
        <w:rPr>
          <w:rFonts w:ascii="宋体" w:hAnsi="宋体" w:cs="宋体"/>
        </w:rPr>
        <w:t>投资者可通过以下途径咨询：</w:t>
      </w:r>
      <w:r>
        <w:rPr>
          <w:rFonts w:ascii="宋体" w:hAnsi="宋体" w:cs="宋体"/>
        </w:rPr>
        <w:cr/>
        <w:t xml:space="preserve">    </w:t>
      </w:r>
      <w:r>
        <w:rPr>
          <w:rFonts w:ascii="宋体" w:hAnsi="宋体" w:cs="宋体"/>
        </w:rPr>
        <w:t>申万菱信基金管理有限公司</w:t>
      </w:r>
      <w:r>
        <w:rPr>
          <w:rFonts w:ascii="宋体" w:hAnsi="宋体" w:cs="宋体"/>
        </w:rPr>
        <w:cr/>
        <w:t xml:space="preserve">    </w:t>
      </w:r>
      <w:r>
        <w:rPr>
          <w:rFonts w:ascii="宋体" w:hAnsi="宋体" w:cs="宋体"/>
        </w:rPr>
        <w:t>客服电话：</w:t>
      </w:r>
      <w:r>
        <w:rPr>
          <w:rFonts w:ascii="宋体" w:hAnsi="宋体" w:cs="宋体"/>
        </w:rPr>
        <w:t>400-880-8588</w:t>
      </w:r>
      <w:r>
        <w:rPr>
          <w:rFonts w:ascii="宋体" w:hAnsi="宋体" w:cs="宋体"/>
        </w:rPr>
        <w:t>（免长途话费）或</w:t>
      </w:r>
      <w:r>
        <w:rPr>
          <w:rFonts w:ascii="宋体" w:hAnsi="宋体" w:cs="宋体"/>
        </w:rPr>
        <w:t xml:space="preserve"> 021-962299</w:t>
      </w:r>
      <w:r>
        <w:rPr>
          <w:rFonts w:ascii="宋体" w:hAnsi="宋体" w:cs="宋体"/>
        </w:rPr>
        <w:cr/>
        <w:t xml:space="preserve">    </w:t>
      </w:r>
      <w:r>
        <w:rPr>
          <w:rFonts w:ascii="宋体" w:hAnsi="宋体" w:cs="宋体"/>
        </w:rPr>
        <w:t>公司网址：</w:t>
      </w:r>
      <w:r>
        <w:rPr>
          <w:rFonts w:ascii="宋体" w:hAnsi="宋体" w:cs="宋体"/>
        </w:rPr>
        <w:t>www.swsmu.com</w:t>
      </w:r>
      <w:r>
        <w:rPr>
          <w:rFonts w:ascii="宋体" w:hAnsi="宋体" w:cs="宋体"/>
        </w:rPr>
        <w:cr/>
        <w:t xml:space="preserve">    </w:t>
      </w:r>
      <w:r>
        <w:rPr>
          <w:rFonts w:ascii="宋体" w:hAnsi="宋体" w:cs="宋体"/>
        </w:rPr>
        <w:t>本基金办理申购、转换、定投业务等</w:t>
      </w:r>
      <w:r>
        <w:rPr>
          <w:rFonts w:ascii="宋体" w:hAnsi="宋体" w:cs="宋体"/>
        </w:rPr>
        <w:t>相关事项的具体规定请以各销售机构办理基金上述业务的有关规定为准。</w:t>
      </w:r>
      <w:r>
        <w:rPr>
          <w:rFonts w:ascii="宋体" w:hAnsi="宋体" w:cs="宋体"/>
        </w:rPr>
        <w:cr/>
        <w:t xml:space="preserve">    </w:t>
      </w:r>
      <w:r>
        <w:rPr>
          <w:rFonts w:ascii="宋体" w:hAnsi="宋体" w:cs="宋体"/>
        </w:rPr>
        <w:t>风险提示：本公司承诺以诚实信用、勤勉尽责的原则管理和运用基金资产，但不保证基金一定盈利，也不保证最低收益。本公司提醒投资者基金投资的</w:t>
      </w:r>
      <w:r>
        <w:rPr>
          <w:rFonts w:ascii="宋体" w:hAnsi="宋体" w:cs="宋体"/>
        </w:rPr>
        <w:t>“</w:t>
      </w:r>
      <w:r>
        <w:rPr>
          <w:rFonts w:ascii="宋体" w:hAnsi="宋体" w:cs="宋体"/>
        </w:rPr>
        <w:t>买者自负</w:t>
      </w:r>
      <w:r>
        <w:rPr>
          <w:rFonts w:ascii="宋体" w:hAnsi="宋体" w:cs="宋体"/>
        </w:rPr>
        <w:t>”</w:t>
      </w:r>
      <w:r>
        <w:rPr>
          <w:rFonts w:ascii="宋体" w:hAnsi="宋体" w:cs="宋体"/>
        </w:rPr>
        <w:t>原则，在做出投资决策后，基金运营状况与基金净值变化引致的投资风险，由投资者自行负担。投资有风险，投资者投资于本基金前请认真阅读本基金的基金合同和招募说明书等法律文件，全面认识本基金的风险收益特征和产品特性，并充分考虑自身的风险承受能力，理性判断市场，谨慎做出投资决策。敬请投资者注意投资风险。</w:t>
      </w:r>
      <w:r>
        <w:rPr>
          <w:rFonts w:ascii="宋体" w:hAnsi="宋体" w:cs="宋体"/>
        </w:rPr>
        <w:cr/>
      </w:r>
      <w:r>
        <w:rPr>
          <w:rFonts w:ascii="宋体" w:hAnsi="宋体" w:cs="宋体"/>
        </w:rPr>
        <w:t xml:space="preserve">    </w:t>
      </w:r>
      <w:r>
        <w:rPr>
          <w:rFonts w:ascii="宋体" w:hAnsi="宋体" w:cs="宋体"/>
        </w:rPr>
        <w:cr/>
        <w:t xml:space="preserve">    </w:t>
      </w:r>
      <w:r>
        <w:rPr>
          <w:rFonts w:ascii="宋体" w:hAnsi="宋体" w:cs="宋体"/>
        </w:rPr>
        <w:t>特此公告。</w:t>
      </w:r>
    </w:p>
    <w:p w:rsidR="00C474B5" w:rsidRDefault="00C474B5"/>
    <w:p w:rsidR="00C474B5" w:rsidRDefault="0076676F">
      <w:pPr>
        <w:jc w:val="right"/>
      </w:pPr>
      <w:r>
        <w:rPr>
          <w:rFonts w:ascii="宋体" w:hAnsi="宋体" w:cs="宋体"/>
        </w:rPr>
        <w:t>申万菱信基金管理有限公司</w:t>
      </w:r>
    </w:p>
    <w:p w:rsidR="00C474B5" w:rsidRDefault="0076676F">
      <w:pPr>
        <w:jc w:val="right"/>
      </w:pPr>
      <w:r>
        <w:rPr>
          <w:rFonts w:ascii="宋体" w:hAnsi="宋体" w:cs="宋体"/>
        </w:rPr>
        <w:t>2025</w:t>
      </w:r>
      <w:r>
        <w:rPr>
          <w:rFonts w:ascii="宋体" w:hAnsi="宋体" w:cs="宋体"/>
        </w:rPr>
        <w:t>年</w:t>
      </w:r>
      <w:r>
        <w:rPr>
          <w:rFonts w:ascii="宋体" w:hAnsi="宋体" w:cs="宋体"/>
        </w:rPr>
        <w:t>12</w:t>
      </w:r>
      <w:r>
        <w:rPr>
          <w:rFonts w:ascii="宋体" w:hAnsi="宋体" w:cs="宋体"/>
        </w:rPr>
        <w:t>月</w:t>
      </w:r>
      <w:r>
        <w:rPr>
          <w:rFonts w:ascii="宋体" w:hAnsi="宋体" w:cs="宋体"/>
        </w:rPr>
        <w:t>29</w:t>
      </w:r>
      <w:r>
        <w:rPr>
          <w:rFonts w:ascii="宋体" w:hAnsi="宋体" w:cs="宋体"/>
        </w:rPr>
        <w:t>日</w:t>
      </w:r>
    </w:p>
    <w:sectPr w:rsidR="00C474B5" w:rsidSect="00C474B5">
      <w:headerReference w:type="default" r:id="rId6"/>
      <w:footerReference w:type="even" r:id="rId7"/>
      <w:footerReference w:type="default" r:id="rId8"/>
      <w:footerReference w:type="first" r:id="rId9"/>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4B5" w:rsidRDefault="0076676F">
      <w:pPr>
        <w:spacing w:line="240" w:lineRule="auto"/>
      </w:pPr>
      <w:r>
        <w:separator/>
      </w:r>
    </w:p>
  </w:endnote>
  <w:endnote w:type="continuationSeparator" w:id="0">
    <w:p w:rsidR="00C474B5" w:rsidRDefault="007667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default"/>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B5" w:rsidRDefault="00C474B5">
    <w:pPr>
      <w:pStyle w:val="a8"/>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B5" w:rsidRDefault="0076676F">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lang/>
      </w:rPr>
      <w:t>第</w:t>
    </w:r>
    <w:r w:rsidR="00C474B5" w:rsidRPr="00C474B5">
      <w:rPr>
        <w:rFonts w:ascii="宋体" w:hAnsi="宋体" w:cs="Times New Roman" w:hint="eastAsia"/>
        <w:sz w:val="20"/>
        <w:szCs w:val="20"/>
        <w:lang/>
      </w:rPr>
      <w:fldChar w:fldCharType="begin"/>
    </w:r>
    <w:r>
      <w:rPr>
        <w:rFonts w:ascii="宋体" w:hAnsi="宋体" w:cs="宋体" w:hint="eastAsia"/>
        <w:sz w:val="20"/>
        <w:szCs w:val="20"/>
        <w:lang/>
      </w:rPr>
      <w:instrText>PAGE  \* MERGEFORMAT</w:instrText>
    </w:r>
    <w:r w:rsidR="00C474B5" w:rsidRPr="00C474B5">
      <w:rPr>
        <w:rFonts w:ascii="宋体" w:hAnsi="宋体" w:cs="Times New Roman" w:hint="eastAsia"/>
        <w:sz w:val="20"/>
        <w:szCs w:val="20"/>
        <w:lang/>
      </w:rPr>
      <w:fldChar w:fldCharType="separate"/>
    </w:r>
    <w:r>
      <w:rPr>
        <w:rFonts w:ascii="宋体" w:hAnsi="宋体" w:cs="宋体"/>
        <w:noProof/>
        <w:sz w:val="20"/>
        <w:szCs w:val="20"/>
        <w:lang/>
      </w:rPr>
      <w:t>1</w:t>
    </w:r>
    <w:r w:rsidR="00C474B5">
      <w:rPr>
        <w:rFonts w:ascii="宋体" w:hAnsi="宋体" w:cs="宋体" w:hint="eastAsia"/>
        <w:sz w:val="20"/>
        <w:szCs w:val="20"/>
        <w:lang/>
      </w:rPr>
      <w:fldChar w:fldCharType="end"/>
    </w:r>
    <w:r>
      <w:rPr>
        <w:rFonts w:ascii="宋体" w:hAnsi="宋体" w:cs="宋体" w:hint="eastAsia"/>
        <w:sz w:val="20"/>
        <w:szCs w:val="20"/>
        <w:lang/>
      </w:rPr>
      <w:t>页，共</w:t>
    </w:r>
    <w:fldSimple w:instr="NUMPAGES  \* MERGEFORMAT ">
      <w:r>
        <w:rPr>
          <w:rFonts w:ascii="宋体" w:hAnsi="宋体" w:cs="宋体"/>
          <w:noProof/>
          <w:sz w:val="20"/>
          <w:szCs w:val="20"/>
          <w:lang/>
        </w:rPr>
        <w:t>3</w:t>
      </w:r>
    </w:fldSimple>
    <w:r>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B5" w:rsidRDefault="00C474B5">
    <w:pPr>
      <w:pStyle w:val="a8"/>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4B5" w:rsidRDefault="0076676F">
      <w:r>
        <w:separator/>
      </w:r>
    </w:p>
  </w:footnote>
  <w:footnote w:type="continuationSeparator" w:id="0">
    <w:p w:rsidR="00C474B5" w:rsidRDefault="007667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4B5" w:rsidRDefault="0076676F">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关于申万菱信中证</w:t>
    </w:r>
    <w:r>
      <w:rPr>
        <w:rFonts w:ascii="宋体" w:hAnsi="宋体" w:hint="eastAsia"/>
        <w:sz w:val="18"/>
      </w:rPr>
      <w:t>A500</w:t>
    </w:r>
    <w:r>
      <w:rPr>
        <w:rFonts w:ascii="宋体" w:hAnsi="宋体" w:hint="eastAsia"/>
        <w:sz w:val="18"/>
      </w:rPr>
      <w:t>红利低波动指数型证券投资基金开放日常申购、赎回、转换、定期定额投资业务的公告</w:t>
    </w:r>
    <w:r>
      <w:rPr>
        <w:rFonts w:ascii="宋体" w:hAnsi="宋体"/>
      </w:rP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76397"/>
    <w:rsid w:val="00680025"/>
    <w:rsid w:val="006935A0"/>
    <w:rsid w:val="006A6402"/>
    <w:rsid w:val="006B4B3E"/>
    <w:rsid w:val="006C7BC8"/>
    <w:rsid w:val="006D1AF4"/>
    <w:rsid w:val="006D1D70"/>
    <w:rsid w:val="00752D0D"/>
    <w:rsid w:val="0076676F"/>
    <w:rsid w:val="007D6500"/>
    <w:rsid w:val="007F2E5E"/>
    <w:rsid w:val="00832DA1"/>
    <w:rsid w:val="00842B26"/>
    <w:rsid w:val="00850BF6"/>
    <w:rsid w:val="00857D40"/>
    <w:rsid w:val="008A2502"/>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474B5"/>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E513F9F"/>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qFormat="1"/>
    <w:lsdException w:name="toc 4" w:semiHidden="0" w:uiPriority="39" w:qFormat="1"/>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lsdException w:name="Strong" w:semiHidden="0" w:uiPriority="22" w:unhideWhenUsed="0" w:qFormat="1"/>
    <w:lsdException w:name="Emphasis" w:semiHidden="0" w:uiPriority="20" w:unhideWhenUsed="0" w:qFormat="1"/>
    <w:lsdException w:name="Plain Tex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uiPriority="61"/>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B5"/>
    <w:pPr>
      <w:widowControl w:val="0"/>
      <w:spacing w:line="288" w:lineRule="auto"/>
      <w:jc w:val="both"/>
    </w:pPr>
    <w:rPr>
      <w:rFonts w:eastAsia="宋体"/>
      <w:kern w:val="2"/>
      <w:sz w:val="21"/>
      <w:szCs w:val="21"/>
    </w:rPr>
  </w:style>
  <w:style w:type="paragraph" w:styleId="1">
    <w:name w:val="heading 1"/>
    <w:basedOn w:val="a"/>
    <w:next w:val="a"/>
    <w:link w:val="1Char"/>
    <w:uiPriority w:val="9"/>
    <w:qFormat/>
    <w:rsid w:val="00C474B5"/>
    <w:pPr>
      <w:adjustRightInd w:val="0"/>
      <w:spacing w:line="360" w:lineRule="auto"/>
      <w:jc w:val="left"/>
      <w:outlineLvl w:val="0"/>
    </w:pPr>
    <w:rPr>
      <w:b/>
      <w:bCs/>
      <w:sz w:val="24"/>
      <w:szCs w:val="44"/>
    </w:rPr>
  </w:style>
  <w:style w:type="paragraph" w:styleId="2">
    <w:name w:val="heading 2"/>
    <w:basedOn w:val="a"/>
    <w:next w:val="a"/>
    <w:link w:val="2Char"/>
    <w:uiPriority w:val="9"/>
    <w:unhideWhenUsed/>
    <w:qFormat/>
    <w:rsid w:val="00C474B5"/>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rsid w:val="00C474B5"/>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C474B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rsid w:val="00C474B5"/>
    <w:pPr>
      <w:ind w:left="1260"/>
      <w:jc w:val="left"/>
    </w:pPr>
    <w:rPr>
      <w:sz w:val="18"/>
      <w:szCs w:val="18"/>
    </w:rPr>
  </w:style>
  <w:style w:type="paragraph" w:styleId="a3">
    <w:name w:val="Normal Indent"/>
    <w:basedOn w:val="a"/>
    <w:link w:val="Char"/>
    <w:uiPriority w:val="99"/>
    <w:semiHidden/>
    <w:unhideWhenUsed/>
    <w:rsid w:val="00C474B5"/>
    <w:pPr>
      <w:ind w:firstLineChars="200" w:firstLine="420"/>
    </w:pPr>
  </w:style>
  <w:style w:type="paragraph" w:styleId="a4">
    <w:name w:val="Document Map"/>
    <w:basedOn w:val="a"/>
    <w:link w:val="Char0"/>
    <w:uiPriority w:val="99"/>
    <w:semiHidden/>
    <w:unhideWhenUsed/>
    <w:rsid w:val="00C474B5"/>
    <w:rPr>
      <w:rFonts w:ascii="宋体"/>
      <w:sz w:val="18"/>
      <w:szCs w:val="18"/>
    </w:rPr>
  </w:style>
  <w:style w:type="paragraph" w:styleId="a5">
    <w:name w:val="annotation text"/>
    <w:basedOn w:val="a"/>
    <w:link w:val="Char1"/>
    <w:uiPriority w:val="99"/>
    <w:semiHidden/>
    <w:unhideWhenUsed/>
    <w:rsid w:val="00C474B5"/>
    <w:pPr>
      <w:jc w:val="left"/>
    </w:pPr>
  </w:style>
  <w:style w:type="paragraph" w:styleId="a6">
    <w:name w:val="Body Text"/>
    <w:basedOn w:val="a"/>
    <w:link w:val="Char2"/>
    <w:uiPriority w:val="99"/>
    <w:semiHidden/>
    <w:unhideWhenUsed/>
    <w:rsid w:val="00C474B5"/>
    <w:pPr>
      <w:spacing w:after="120"/>
    </w:pPr>
  </w:style>
  <w:style w:type="paragraph" w:styleId="5">
    <w:name w:val="toc 5"/>
    <w:basedOn w:val="a"/>
    <w:next w:val="a"/>
    <w:autoRedefine/>
    <w:uiPriority w:val="39"/>
    <w:unhideWhenUsed/>
    <w:rsid w:val="00C474B5"/>
    <w:pPr>
      <w:ind w:left="840"/>
      <w:jc w:val="left"/>
    </w:pPr>
    <w:rPr>
      <w:sz w:val="18"/>
      <w:szCs w:val="18"/>
    </w:rPr>
  </w:style>
  <w:style w:type="paragraph" w:styleId="30">
    <w:name w:val="toc 3"/>
    <w:basedOn w:val="a"/>
    <w:next w:val="a"/>
    <w:autoRedefine/>
    <w:uiPriority w:val="39"/>
    <w:unhideWhenUsed/>
    <w:qFormat/>
    <w:rsid w:val="00C474B5"/>
    <w:pPr>
      <w:spacing w:line="240" w:lineRule="auto"/>
      <w:ind w:left="420"/>
      <w:jc w:val="left"/>
    </w:pPr>
    <w:rPr>
      <w:i/>
      <w:iCs/>
      <w:szCs w:val="20"/>
    </w:rPr>
  </w:style>
  <w:style w:type="paragraph" w:styleId="a7">
    <w:name w:val="Plain Text"/>
    <w:basedOn w:val="a"/>
    <w:link w:val="Char3"/>
    <w:uiPriority w:val="99"/>
    <w:semiHidden/>
    <w:unhideWhenUsed/>
    <w:qFormat/>
    <w:rsid w:val="00C474B5"/>
    <w:rPr>
      <w:rFonts w:asciiTheme="minorEastAsia" w:hAnsi="Courier New" w:cs="Courier New"/>
    </w:rPr>
  </w:style>
  <w:style w:type="paragraph" w:styleId="8">
    <w:name w:val="toc 8"/>
    <w:basedOn w:val="a"/>
    <w:next w:val="a"/>
    <w:autoRedefine/>
    <w:uiPriority w:val="39"/>
    <w:unhideWhenUsed/>
    <w:rsid w:val="00C474B5"/>
    <w:pPr>
      <w:ind w:left="1470"/>
      <w:jc w:val="left"/>
    </w:pPr>
    <w:rPr>
      <w:rFonts w:eastAsiaTheme="minorHAnsi"/>
      <w:sz w:val="18"/>
      <w:szCs w:val="18"/>
    </w:rPr>
  </w:style>
  <w:style w:type="paragraph" w:styleId="a8">
    <w:name w:val="Date"/>
    <w:basedOn w:val="a"/>
    <w:next w:val="a"/>
    <w:link w:val="Char4"/>
    <w:uiPriority w:val="99"/>
    <w:semiHidden/>
    <w:unhideWhenUsed/>
    <w:qFormat/>
    <w:rsid w:val="00C474B5"/>
    <w:pPr>
      <w:ind w:leftChars="2500" w:left="100"/>
    </w:pPr>
  </w:style>
  <w:style w:type="paragraph" w:styleId="a9">
    <w:name w:val="Balloon Text"/>
    <w:basedOn w:val="a"/>
    <w:link w:val="Char5"/>
    <w:uiPriority w:val="99"/>
    <w:semiHidden/>
    <w:unhideWhenUsed/>
    <w:qFormat/>
    <w:rsid w:val="00C474B5"/>
    <w:rPr>
      <w:sz w:val="18"/>
      <w:szCs w:val="18"/>
    </w:rPr>
  </w:style>
  <w:style w:type="paragraph" w:styleId="aa">
    <w:name w:val="footer"/>
    <w:basedOn w:val="a"/>
    <w:link w:val="Char6"/>
    <w:uiPriority w:val="99"/>
    <w:unhideWhenUsed/>
    <w:rsid w:val="00C474B5"/>
    <w:pPr>
      <w:tabs>
        <w:tab w:val="center" w:pos="4153"/>
        <w:tab w:val="right" w:pos="8306"/>
      </w:tabs>
      <w:snapToGrid w:val="0"/>
      <w:jc w:val="left"/>
    </w:pPr>
    <w:rPr>
      <w:sz w:val="18"/>
      <w:szCs w:val="18"/>
    </w:rPr>
  </w:style>
  <w:style w:type="paragraph" w:styleId="ab">
    <w:name w:val="header"/>
    <w:basedOn w:val="a"/>
    <w:link w:val="Char7"/>
    <w:uiPriority w:val="99"/>
    <w:unhideWhenUsed/>
    <w:rsid w:val="00C474B5"/>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rsid w:val="00C474B5"/>
    <w:pPr>
      <w:tabs>
        <w:tab w:val="right" w:leader="dot" w:pos="9060"/>
      </w:tabs>
      <w:spacing w:line="240" w:lineRule="auto"/>
      <w:jc w:val="left"/>
    </w:pPr>
    <w:rPr>
      <w:b/>
      <w:bCs/>
      <w:caps/>
      <w:szCs w:val="20"/>
    </w:rPr>
  </w:style>
  <w:style w:type="paragraph" w:styleId="40">
    <w:name w:val="toc 4"/>
    <w:basedOn w:val="a"/>
    <w:next w:val="a"/>
    <w:autoRedefine/>
    <w:uiPriority w:val="39"/>
    <w:unhideWhenUsed/>
    <w:qFormat/>
    <w:rsid w:val="00C474B5"/>
    <w:pPr>
      <w:ind w:left="630"/>
      <w:jc w:val="left"/>
    </w:pPr>
    <w:rPr>
      <w:sz w:val="18"/>
      <w:szCs w:val="18"/>
    </w:rPr>
  </w:style>
  <w:style w:type="paragraph" w:styleId="6">
    <w:name w:val="toc 6"/>
    <w:basedOn w:val="a"/>
    <w:next w:val="a"/>
    <w:autoRedefine/>
    <w:uiPriority w:val="39"/>
    <w:unhideWhenUsed/>
    <w:rsid w:val="00C474B5"/>
    <w:pPr>
      <w:ind w:left="1050"/>
      <w:jc w:val="left"/>
    </w:pPr>
    <w:rPr>
      <w:sz w:val="18"/>
      <w:szCs w:val="18"/>
    </w:rPr>
  </w:style>
  <w:style w:type="paragraph" w:styleId="20">
    <w:name w:val="toc 2"/>
    <w:basedOn w:val="a"/>
    <w:next w:val="a"/>
    <w:autoRedefine/>
    <w:uiPriority w:val="39"/>
    <w:unhideWhenUsed/>
    <w:rsid w:val="00C474B5"/>
    <w:pPr>
      <w:spacing w:line="240" w:lineRule="auto"/>
      <w:ind w:left="210"/>
      <w:jc w:val="left"/>
    </w:pPr>
    <w:rPr>
      <w:smallCaps/>
      <w:szCs w:val="20"/>
    </w:rPr>
  </w:style>
  <w:style w:type="paragraph" w:styleId="9">
    <w:name w:val="toc 9"/>
    <w:basedOn w:val="a"/>
    <w:next w:val="a"/>
    <w:autoRedefine/>
    <w:uiPriority w:val="39"/>
    <w:unhideWhenUsed/>
    <w:rsid w:val="00C474B5"/>
    <w:pPr>
      <w:ind w:left="1680"/>
      <w:jc w:val="left"/>
    </w:pPr>
    <w:rPr>
      <w:rFonts w:eastAsiaTheme="minorHAnsi"/>
      <w:sz w:val="18"/>
      <w:szCs w:val="18"/>
    </w:rPr>
  </w:style>
  <w:style w:type="paragraph" w:styleId="ac">
    <w:name w:val="Normal (Web)"/>
    <w:basedOn w:val="a"/>
    <w:uiPriority w:val="99"/>
    <w:semiHidden/>
    <w:unhideWhenUsed/>
    <w:rsid w:val="00C474B5"/>
    <w:rPr>
      <w:rFonts w:ascii="Times New Roman" w:hAnsi="Times New Roman" w:cs="宋体"/>
      <w:sz w:val="24"/>
      <w:szCs w:val="24"/>
    </w:rPr>
  </w:style>
  <w:style w:type="paragraph" w:styleId="ad">
    <w:name w:val="Title"/>
    <w:basedOn w:val="a"/>
    <w:next w:val="a"/>
    <w:link w:val="Char8"/>
    <w:uiPriority w:val="10"/>
    <w:qFormat/>
    <w:rsid w:val="00C474B5"/>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rsid w:val="00C474B5"/>
    <w:rPr>
      <w:b/>
      <w:bCs/>
    </w:rPr>
  </w:style>
  <w:style w:type="table" w:styleId="af">
    <w:name w:val="Table Grid"/>
    <w:basedOn w:val="a1"/>
    <w:uiPriority w:val="39"/>
    <w:rsid w:val="00C474B5"/>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C474B5"/>
    <w:rPr>
      <w:rFonts w:ascii="Times New Roman" w:eastAsia="宋体" w:hAnsi="Times New Roman" w:cs="Times New Roman"/>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sid w:val="00C474B5"/>
    <w:rPr>
      <w:b/>
      <w:bCs/>
    </w:rPr>
  </w:style>
  <w:style w:type="character" w:styleId="af1">
    <w:name w:val="Hyperlink"/>
    <w:basedOn w:val="a0"/>
    <w:uiPriority w:val="99"/>
    <w:unhideWhenUsed/>
    <w:rsid w:val="00C474B5"/>
    <w:rPr>
      <w:color w:val="0000FF"/>
      <w:u w:val="single"/>
    </w:rPr>
  </w:style>
  <w:style w:type="character" w:styleId="HTML">
    <w:name w:val="HTML Code"/>
    <w:basedOn w:val="a0"/>
    <w:uiPriority w:val="99"/>
    <w:semiHidden/>
    <w:unhideWhenUsed/>
    <w:rsid w:val="00C474B5"/>
    <w:rPr>
      <w:rFonts w:ascii="Courier New" w:hAnsi="Courier New" w:cs="Courier New"/>
      <w:sz w:val="20"/>
      <w:szCs w:val="20"/>
    </w:rPr>
  </w:style>
  <w:style w:type="character" w:styleId="af2">
    <w:name w:val="annotation reference"/>
    <w:basedOn w:val="a0"/>
    <w:uiPriority w:val="99"/>
    <w:semiHidden/>
    <w:unhideWhenUsed/>
    <w:rsid w:val="00C474B5"/>
    <w:rPr>
      <w:sz w:val="21"/>
      <w:szCs w:val="21"/>
    </w:rPr>
  </w:style>
  <w:style w:type="paragraph" w:customStyle="1" w:styleId="af3">
    <w:name w:val="代码样式"/>
    <w:link w:val="Chara"/>
    <w:qFormat/>
    <w:rsid w:val="00C474B5"/>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kern w:val="2"/>
      <w:sz w:val="21"/>
      <w:szCs w:val="21"/>
    </w:rPr>
  </w:style>
  <w:style w:type="character" w:customStyle="1" w:styleId="Chara">
    <w:name w:val="代码样式 Char"/>
    <w:basedOn w:val="a0"/>
    <w:link w:val="af3"/>
    <w:qFormat/>
    <w:rsid w:val="00C474B5"/>
    <w:rPr>
      <w:shd w:val="clear" w:color="auto" w:fill="A8D08D" w:themeFill="accent6" w:themeFillTint="99"/>
    </w:rPr>
  </w:style>
  <w:style w:type="character" w:customStyle="1" w:styleId="1Char">
    <w:name w:val="标题 1 Char"/>
    <w:basedOn w:val="a0"/>
    <w:link w:val="1"/>
    <w:uiPriority w:val="9"/>
    <w:qFormat/>
    <w:rsid w:val="00C474B5"/>
    <w:rPr>
      <w:rFonts w:eastAsia="宋体"/>
      <w:b/>
      <w:bCs/>
      <w:sz w:val="24"/>
      <w:szCs w:val="44"/>
    </w:rPr>
  </w:style>
  <w:style w:type="character" w:customStyle="1" w:styleId="2Char">
    <w:name w:val="标题 2 Char"/>
    <w:basedOn w:val="a0"/>
    <w:link w:val="2"/>
    <w:uiPriority w:val="9"/>
    <w:rsid w:val="00C474B5"/>
    <w:rPr>
      <w:rFonts w:asciiTheme="majorHAnsi" w:eastAsia="宋体" w:hAnsiTheme="majorHAnsi" w:cstheme="majorBidi"/>
      <w:b/>
      <w:bCs/>
      <w:sz w:val="24"/>
      <w:szCs w:val="32"/>
    </w:rPr>
  </w:style>
  <w:style w:type="character" w:customStyle="1" w:styleId="3Char">
    <w:name w:val="标题 3 Char"/>
    <w:basedOn w:val="a0"/>
    <w:link w:val="3"/>
    <w:uiPriority w:val="9"/>
    <w:rsid w:val="00C474B5"/>
    <w:rPr>
      <w:rFonts w:eastAsia="宋体"/>
      <w:b/>
      <w:bCs/>
      <w:sz w:val="24"/>
      <w:szCs w:val="32"/>
    </w:rPr>
  </w:style>
  <w:style w:type="character" w:customStyle="1" w:styleId="4Char">
    <w:name w:val="标题 4 Char"/>
    <w:basedOn w:val="a0"/>
    <w:link w:val="4"/>
    <w:uiPriority w:val="9"/>
    <w:semiHidden/>
    <w:rsid w:val="00C474B5"/>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sid w:val="00C474B5"/>
    <w:rPr>
      <w:rFonts w:asciiTheme="minorHAnsi" w:eastAsiaTheme="minorEastAsia" w:hAnsiTheme="minorHAnsi" w:cstheme="minorBidi"/>
      <w:sz w:val="21"/>
      <w:szCs w:val="22"/>
    </w:rPr>
  </w:style>
  <w:style w:type="character" w:customStyle="1" w:styleId="Char1">
    <w:name w:val="批注文字 Char"/>
    <w:basedOn w:val="a0"/>
    <w:link w:val="a5"/>
    <w:uiPriority w:val="99"/>
    <w:semiHidden/>
    <w:rsid w:val="00C474B5"/>
    <w:rPr>
      <w:rFonts w:asciiTheme="minorHAnsi" w:eastAsiaTheme="minorEastAsia" w:hAnsiTheme="minorHAnsi" w:cstheme="minorBidi"/>
      <w:sz w:val="21"/>
      <w:szCs w:val="22"/>
    </w:rPr>
  </w:style>
  <w:style w:type="character" w:customStyle="1" w:styleId="Char7">
    <w:name w:val="页眉 Char"/>
    <w:basedOn w:val="a0"/>
    <w:link w:val="ab"/>
    <w:uiPriority w:val="99"/>
    <w:rsid w:val="00C474B5"/>
    <w:rPr>
      <w:rFonts w:asciiTheme="minorHAnsi" w:eastAsiaTheme="minorEastAsia" w:hAnsiTheme="minorHAnsi" w:cstheme="minorBidi"/>
      <w:sz w:val="18"/>
      <w:szCs w:val="18"/>
    </w:rPr>
  </w:style>
  <w:style w:type="character" w:customStyle="1" w:styleId="Char6">
    <w:name w:val="页脚 Char"/>
    <w:basedOn w:val="a0"/>
    <w:link w:val="aa"/>
    <w:uiPriority w:val="99"/>
    <w:rsid w:val="00C474B5"/>
    <w:rPr>
      <w:rFonts w:asciiTheme="minorHAnsi" w:eastAsiaTheme="minorEastAsia" w:hAnsiTheme="minorHAnsi" w:cstheme="minorBidi"/>
      <w:sz w:val="18"/>
      <w:szCs w:val="18"/>
    </w:rPr>
  </w:style>
  <w:style w:type="character" w:customStyle="1" w:styleId="Char2">
    <w:name w:val="正文文本 Char"/>
    <w:basedOn w:val="a0"/>
    <w:link w:val="a6"/>
    <w:uiPriority w:val="99"/>
    <w:semiHidden/>
    <w:rsid w:val="00C474B5"/>
    <w:rPr>
      <w:rFonts w:asciiTheme="minorHAnsi" w:eastAsiaTheme="minorEastAsia" w:hAnsiTheme="minorHAnsi" w:cstheme="minorBidi"/>
      <w:sz w:val="21"/>
      <w:szCs w:val="22"/>
    </w:rPr>
  </w:style>
  <w:style w:type="character" w:customStyle="1" w:styleId="Char4">
    <w:name w:val="日期 Char"/>
    <w:basedOn w:val="a0"/>
    <w:link w:val="a8"/>
    <w:uiPriority w:val="99"/>
    <w:semiHidden/>
    <w:qFormat/>
    <w:rsid w:val="00C474B5"/>
    <w:rPr>
      <w:rFonts w:asciiTheme="minorHAnsi" w:eastAsiaTheme="minorEastAsia" w:hAnsiTheme="minorHAnsi" w:cstheme="minorBidi"/>
      <w:sz w:val="21"/>
      <w:szCs w:val="22"/>
    </w:rPr>
  </w:style>
  <w:style w:type="character" w:customStyle="1" w:styleId="Char3">
    <w:name w:val="纯文本 Char"/>
    <w:basedOn w:val="a0"/>
    <w:link w:val="a7"/>
    <w:uiPriority w:val="99"/>
    <w:semiHidden/>
    <w:rsid w:val="00C474B5"/>
    <w:rPr>
      <w:rFonts w:asciiTheme="minorEastAsia" w:eastAsiaTheme="minorEastAsia" w:hAnsi="Courier New" w:cs="Courier New"/>
      <w:sz w:val="21"/>
      <w:szCs w:val="22"/>
    </w:rPr>
  </w:style>
  <w:style w:type="character" w:customStyle="1" w:styleId="Char9">
    <w:name w:val="批注主题 Char"/>
    <w:basedOn w:val="Char1"/>
    <w:link w:val="ae"/>
    <w:uiPriority w:val="99"/>
    <w:semiHidden/>
    <w:rsid w:val="00C474B5"/>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qFormat/>
    <w:rsid w:val="00C474B5"/>
    <w:rPr>
      <w:rFonts w:asciiTheme="minorHAnsi" w:eastAsiaTheme="minorEastAsia" w:hAnsiTheme="minorHAnsi" w:cstheme="minorBidi"/>
      <w:sz w:val="18"/>
      <w:szCs w:val="18"/>
    </w:rPr>
  </w:style>
  <w:style w:type="paragraph" w:styleId="af4">
    <w:name w:val="List Paragraph"/>
    <w:basedOn w:val="a"/>
    <w:uiPriority w:val="34"/>
    <w:qFormat/>
    <w:rsid w:val="00C474B5"/>
    <w:pPr>
      <w:ind w:firstLineChars="200" w:firstLine="420"/>
    </w:pPr>
  </w:style>
  <w:style w:type="character" w:customStyle="1" w:styleId="Char8">
    <w:name w:val="标题 Char"/>
    <w:basedOn w:val="a0"/>
    <w:link w:val="ad"/>
    <w:uiPriority w:val="10"/>
    <w:rsid w:val="00C474B5"/>
    <w:rPr>
      <w:rFonts w:asciiTheme="majorHAnsi" w:eastAsiaTheme="majorEastAsia" w:hAnsiTheme="majorHAnsi" w:cstheme="majorBidi"/>
      <w:b/>
      <w:bCs/>
      <w:sz w:val="32"/>
      <w:szCs w:val="32"/>
    </w:rPr>
  </w:style>
  <w:style w:type="paragraph" w:customStyle="1" w:styleId="biaogeleft">
    <w:name w:val="biaoge_left"/>
    <w:basedOn w:val="a"/>
    <w:rsid w:val="00C474B5"/>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C474B5"/>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C474B5"/>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C474B5"/>
    <w:rPr>
      <w:rFonts w:ascii="宋体" w:eastAsia="宋体" w:hAnsi="宋体"/>
      <w:color w:val="000000" w:themeColor="text1"/>
      <w:sz w:val="21"/>
    </w:rPr>
  </w:style>
  <w:style w:type="paragraph" w:customStyle="1" w:styleId="TOC1">
    <w:name w:val="TOC 标题1"/>
    <w:basedOn w:val="1"/>
    <w:next w:val="a"/>
    <w:uiPriority w:val="39"/>
    <w:unhideWhenUsed/>
    <w:qFormat/>
    <w:rsid w:val="00C474B5"/>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qFormat/>
    <w:rsid w:val="00C474B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1287</Words>
  <Characters>7341</Characters>
  <Application>Microsoft Office Word</Application>
  <DocSecurity>4</DocSecurity>
  <Lines>61</Lines>
  <Paragraphs>17</Paragraphs>
  <ScaleCrop>false</ScaleCrop>
  <Company>CNSTOCK</Company>
  <LinksUpToDate>false</LinksUpToDate>
  <CharactersWithSpaces>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dcterms:created xsi:type="dcterms:W3CDTF">2025-12-28T16:01:00Z</dcterms:created>
  <dcterms:modified xsi:type="dcterms:W3CDTF">2025-12-28T16:01:00Z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87BC86CECBE34B7DB35CEB27F38378FD_13</vt:lpwstr>
  </property>
</Properties>
</file>