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F7" w:rsidRDefault="00FE40F7">
      <w:pPr>
        <w:spacing w:line="360" w:lineRule="auto"/>
        <w:jc w:val="center"/>
        <w:rPr>
          <w:b/>
          <w:bCs/>
          <w:color w:val="000000"/>
          <w:sz w:val="32"/>
          <w:szCs w:val="30"/>
        </w:rPr>
      </w:pPr>
      <w:bookmarkStart w:id="0" w:name="_Toc249760023"/>
      <w:r>
        <w:rPr>
          <w:b/>
          <w:bCs/>
          <w:color w:val="000000"/>
          <w:sz w:val="32"/>
          <w:szCs w:val="30"/>
        </w:rPr>
        <w:t>平安金管家货币市场基金</w:t>
      </w:r>
      <w:r w:rsidR="002002CB">
        <w:rPr>
          <w:rFonts w:hint="eastAsia"/>
          <w:b/>
          <w:bCs/>
          <w:color w:val="000000"/>
          <w:sz w:val="32"/>
          <w:szCs w:val="30"/>
        </w:rPr>
        <w:t>元旦</w:t>
      </w:r>
      <w:r>
        <w:rPr>
          <w:b/>
          <w:bCs/>
          <w:color w:val="000000"/>
          <w:sz w:val="32"/>
          <w:szCs w:val="30"/>
        </w:rPr>
        <w:t>假期前暂停申购、转换转入及定期定额投资业务的公告</w:t>
      </w:r>
    </w:p>
    <w:p w:rsidR="00FE40F7" w:rsidRDefault="00FE40F7">
      <w:pPr>
        <w:spacing w:line="360" w:lineRule="auto"/>
        <w:jc w:val="center"/>
        <w:rPr>
          <w:b/>
          <w:sz w:val="28"/>
        </w:rPr>
      </w:pPr>
      <w:r>
        <w:rPr>
          <w:b/>
          <w:sz w:val="28"/>
        </w:rPr>
        <w:t>公告送出日期：</w:t>
      </w:r>
      <w:r w:rsidR="00E52C36">
        <w:rPr>
          <w:b/>
          <w:sz w:val="28"/>
        </w:rPr>
        <w:t>2025</w:t>
      </w:r>
      <w:r w:rsidR="00E52C36">
        <w:rPr>
          <w:b/>
          <w:sz w:val="28"/>
        </w:rPr>
        <w:t>年</w:t>
      </w:r>
      <w:r w:rsidR="005E4A49">
        <w:rPr>
          <w:b/>
          <w:sz w:val="28"/>
        </w:rPr>
        <w:t>12</w:t>
      </w:r>
      <w:r w:rsidR="00201890">
        <w:rPr>
          <w:b/>
          <w:sz w:val="28"/>
        </w:rPr>
        <w:t>月</w:t>
      </w:r>
      <w:r w:rsidR="00201890">
        <w:rPr>
          <w:b/>
          <w:sz w:val="28"/>
        </w:rPr>
        <w:t>2</w:t>
      </w:r>
      <w:r w:rsidR="005E4A49">
        <w:rPr>
          <w:b/>
          <w:sz w:val="28"/>
        </w:rPr>
        <w:t>9</w:t>
      </w:r>
      <w:r w:rsidR="00201890">
        <w:rPr>
          <w:b/>
          <w:sz w:val="28"/>
        </w:rPr>
        <w:t>日</w:t>
      </w:r>
    </w:p>
    <w:p w:rsidR="00FE40F7" w:rsidRDefault="00FE40F7">
      <w:pPr>
        <w:spacing w:line="360" w:lineRule="auto"/>
        <w:jc w:val="center"/>
        <w:rPr>
          <w:color w:val="000000"/>
          <w:sz w:val="24"/>
        </w:rPr>
      </w:pPr>
    </w:p>
    <w:bookmarkEnd w:id="0"/>
    <w:p w:rsidR="00FE40F7" w:rsidRDefault="00FE40F7">
      <w:pPr>
        <w:pStyle w:val="3"/>
        <w:keepNext w:val="0"/>
        <w:keepLines w:val="0"/>
        <w:adjustRightInd w:val="0"/>
        <w:snapToGrid w:val="0"/>
        <w:spacing w:before="0" w:after="0" w:line="360" w:lineRule="auto"/>
        <w:ind w:firstLineChars="200" w:firstLine="482"/>
        <w:rPr>
          <w:color w:val="000000"/>
          <w:sz w:val="24"/>
          <w:szCs w:val="24"/>
        </w:rPr>
      </w:pPr>
      <w:r>
        <w:rPr>
          <w:color w:val="000000"/>
          <w:sz w:val="24"/>
          <w:szCs w:val="24"/>
        </w:rPr>
        <w:t>1</w:t>
      </w:r>
      <w:r>
        <w:rPr>
          <w:color w:val="000000"/>
          <w:sz w:val="24"/>
          <w:szCs w:val="24"/>
        </w:rPr>
        <w:t>、公告基本信息</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70"/>
        <w:gridCol w:w="1875"/>
        <w:gridCol w:w="1000"/>
        <w:gridCol w:w="982"/>
        <w:gridCol w:w="1895"/>
      </w:tblGrid>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基金名称</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平安金管家货币市场基金</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基金简称</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平安金管家货币</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基金主代码</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003465</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基金管理人名称</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平安基金管理有限公司</w:t>
            </w:r>
          </w:p>
        </w:tc>
      </w:tr>
      <w:tr w:rsidR="00FE40F7" w:rsidTr="00087E36">
        <w:trPr>
          <w:trHeight w:val="20"/>
          <w:jc w:val="center"/>
        </w:trPr>
        <w:tc>
          <w:tcPr>
            <w:tcW w:w="1625" w:type="pct"/>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rPr>
                <w:sz w:val="24"/>
              </w:rPr>
            </w:pPr>
            <w:r>
              <w:rPr>
                <w:sz w:val="24"/>
              </w:rPr>
              <w:t>公告依据</w:t>
            </w:r>
          </w:p>
        </w:tc>
        <w:tc>
          <w:tcPr>
            <w:tcW w:w="3375" w:type="pct"/>
            <w:gridSpan w:val="4"/>
            <w:tcBorders>
              <w:top w:val="single" w:sz="4" w:space="0" w:color="000000"/>
              <w:left w:val="single" w:sz="4" w:space="0" w:color="000000"/>
              <w:bottom w:val="single" w:sz="4" w:space="0" w:color="000000"/>
              <w:right w:val="single" w:sz="4" w:space="0" w:color="000000"/>
            </w:tcBorders>
          </w:tcPr>
          <w:p w:rsidR="00FE40F7" w:rsidRDefault="00FE40F7">
            <w:pPr>
              <w:spacing w:line="276" w:lineRule="auto"/>
              <w:rPr>
                <w:sz w:val="24"/>
              </w:rPr>
            </w:pPr>
            <w:r>
              <w:rPr>
                <w:sz w:val="24"/>
              </w:rPr>
              <w:t>中国证监会《货币市场基金监督管理办法》、</w:t>
            </w:r>
            <w:r w:rsidR="00E52C36">
              <w:rPr>
                <w:color w:val="000000"/>
                <w:kern w:val="0"/>
                <w:sz w:val="24"/>
              </w:rPr>
              <w:t>《</w:t>
            </w:r>
            <w:r w:rsidR="00E52C36" w:rsidRPr="00B95FE7">
              <w:rPr>
                <w:rFonts w:hint="eastAsia"/>
                <w:color w:val="000000"/>
                <w:kern w:val="0"/>
                <w:sz w:val="24"/>
              </w:rPr>
              <w:t>国务院办公厅关于</w:t>
            </w:r>
            <w:r w:rsidR="00E52C36" w:rsidRPr="00B95FE7">
              <w:rPr>
                <w:rFonts w:hint="eastAsia"/>
                <w:color w:val="000000"/>
                <w:kern w:val="0"/>
                <w:sz w:val="24"/>
              </w:rPr>
              <w:t>202</w:t>
            </w:r>
            <w:r w:rsidR="005E4A49">
              <w:rPr>
                <w:color w:val="000000"/>
                <w:kern w:val="0"/>
                <w:sz w:val="24"/>
              </w:rPr>
              <w:t>6</w:t>
            </w:r>
            <w:r w:rsidR="00E52C36" w:rsidRPr="00B95FE7">
              <w:rPr>
                <w:rFonts w:hint="eastAsia"/>
                <w:color w:val="000000"/>
                <w:kern w:val="0"/>
                <w:sz w:val="24"/>
              </w:rPr>
              <w:t>年部分节假日安排的通知</w:t>
            </w:r>
            <w:r w:rsidR="00E52C36">
              <w:rPr>
                <w:color w:val="000000"/>
                <w:kern w:val="0"/>
                <w:sz w:val="24"/>
              </w:rPr>
              <w:t>》</w:t>
            </w:r>
            <w:r w:rsidR="00E52C36">
              <w:rPr>
                <w:sz w:val="24"/>
              </w:rPr>
              <w:t>以及《</w:t>
            </w:r>
            <w:r w:rsidR="00710C60">
              <w:rPr>
                <w:sz w:val="24"/>
              </w:rPr>
              <w:t>平安金管家货币市场基金</w:t>
            </w:r>
            <w:r w:rsidR="00E52C36">
              <w:rPr>
                <w:sz w:val="24"/>
              </w:rPr>
              <w:t>基金合同》等相关法律文件</w:t>
            </w:r>
          </w:p>
        </w:tc>
      </w:tr>
      <w:tr w:rsidR="00F9677D" w:rsidTr="00087E36">
        <w:tblPrEx>
          <w:tblBorders>
            <w:top w:val="none" w:sz="0" w:space="0" w:color="auto"/>
            <w:bottom w:val="none" w:sz="0" w:space="0" w:color="auto"/>
            <w:insideH w:val="none" w:sz="0" w:space="0" w:color="auto"/>
          </w:tblBorders>
        </w:tblPrEx>
        <w:trPr>
          <w:trHeight w:val="20"/>
          <w:jc w:val="center"/>
        </w:trPr>
        <w:tc>
          <w:tcPr>
            <w:tcW w:w="1625" w:type="pct"/>
            <w:vMerge w:val="restart"/>
            <w:tcBorders>
              <w:top w:val="single" w:sz="4" w:space="0" w:color="auto"/>
              <w:left w:val="single" w:sz="4" w:space="0" w:color="auto"/>
              <w:right w:val="single" w:sz="4" w:space="0" w:color="auto"/>
            </w:tcBorders>
            <w:vAlign w:val="center"/>
          </w:tcPr>
          <w:p w:rsidR="00F9677D" w:rsidRDefault="00F9677D" w:rsidP="00F9677D">
            <w:pPr>
              <w:spacing w:line="276" w:lineRule="auto"/>
              <w:rPr>
                <w:sz w:val="24"/>
              </w:rPr>
            </w:pPr>
            <w:r>
              <w:rPr>
                <w:sz w:val="24"/>
              </w:rPr>
              <w:t>暂停相关业务的起始日、金额及原因说明</w:t>
            </w: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9677D" w:rsidRDefault="00F9677D" w:rsidP="00F9677D">
            <w:pPr>
              <w:spacing w:line="276" w:lineRule="auto"/>
              <w:jc w:val="center"/>
              <w:rPr>
                <w:sz w:val="24"/>
              </w:rPr>
            </w:pPr>
            <w:r>
              <w:rPr>
                <w:sz w:val="24"/>
              </w:rPr>
              <w:t>暂停申购起始日</w:t>
            </w:r>
          </w:p>
        </w:tc>
        <w:tc>
          <w:tcPr>
            <w:tcW w:w="1688" w:type="pct"/>
            <w:gridSpan w:val="2"/>
            <w:tcBorders>
              <w:top w:val="single" w:sz="4" w:space="0" w:color="000000"/>
              <w:left w:val="single" w:sz="4" w:space="0" w:color="000000"/>
              <w:bottom w:val="single" w:sz="4" w:space="0" w:color="000000"/>
              <w:right w:val="single" w:sz="4" w:space="0" w:color="000000"/>
            </w:tcBorders>
            <w:vAlign w:val="center"/>
          </w:tcPr>
          <w:p w:rsidR="00F9677D" w:rsidRDefault="00F9677D" w:rsidP="00F9677D">
            <w:pPr>
              <w:spacing w:line="276" w:lineRule="auto"/>
              <w:jc w:val="center"/>
              <w:rPr>
                <w:sz w:val="24"/>
              </w:rPr>
            </w:pPr>
            <w:r>
              <w:rPr>
                <w:rFonts w:hint="eastAsia"/>
                <w:sz w:val="24"/>
              </w:rPr>
              <w:t>202</w:t>
            </w:r>
            <w:r>
              <w:rPr>
                <w:sz w:val="24"/>
              </w:rPr>
              <w:t>5</w:t>
            </w:r>
            <w:r>
              <w:rPr>
                <w:rFonts w:hint="eastAsia"/>
                <w:sz w:val="24"/>
              </w:rPr>
              <w:t>年</w:t>
            </w:r>
            <w:r w:rsidR="005E4A49">
              <w:rPr>
                <w:sz w:val="24"/>
              </w:rPr>
              <w:t>12</w:t>
            </w:r>
            <w:r>
              <w:rPr>
                <w:rFonts w:hint="eastAsia"/>
                <w:sz w:val="24"/>
              </w:rPr>
              <w:t>月</w:t>
            </w:r>
            <w:r w:rsidR="005E4A49">
              <w:rPr>
                <w:sz w:val="24"/>
              </w:rPr>
              <w:t>30</w:t>
            </w:r>
            <w:r>
              <w:rPr>
                <w:rFonts w:hint="eastAsia"/>
                <w:sz w:val="24"/>
              </w:rPr>
              <w:t>日</w:t>
            </w:r>
          </w:p>
        </w:tc>
      </w:tr>
      <w:tr w:rsidR="00F9677D" w:rsidTr="00667B1D">
        <w:tblPrEx>
          <w:tblBorders>
            <w:top w:val="none" w:sz="0" w:space="0" w:color="auto"/>
            <w:bottom w:val="none" w:sz="0" w:space="0" w:color="auto"/>
            <w:insideH w:val="none" w:sz="0" w:space="0" w:color="auto"/>
          </w:tblBorders>
        </w:tblPrEx>
        <w:trPr>
          <w:trHeight w:val="20"/>
          <w:jc w:val="center"/>
        </w:trPr>
        <w:tc>
          <w:tcPr>
            <w:tcW w:w="1625" w:type="pct"/>
            <w:vMerge/>
            <w:tcBorders>
              <w:top w:val="single" w:sz="4" w:space="0" w:color="auto"/>
              <w:left w:val="single" w:sz="4" w:space="0" w:color="auto"/>
              <w:right w:val="single" w:sz="4" w:space="0" w:color="auto"/>
            </w:tcBorders>
            <w:vAlign w:val="center"/>
          </w:tcPr>
          <w:p w:rsidR="00F9677D" w:rsidRDefault="00F9677D" w:rsidP="00F9677D">
            <w:pPr>
              <w:spacing w:line="276" w:lineRule="auto"/>
              <w:rPr>
                <w:sz w:val="24"/>
              </w:rPr>
            </w:pP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9677D" w:rsidRDefault="00F9677D" w:rsidP="00F9677D">
            <w:pPr>
              <w:spacing w:line="276" w:lineRule="auto"/>
              <w:jc w:val="center"/>
              <w:rPr>
                <w:sz w:val="24"/>
              </w:rPr>
            </w:pPr>
            <w:r>
              <w:rPr>
                <w:sz w:val="24"/>
              </w:rPr>
              <w:t>暂停转换转入起始日</w:t>
            </w:r>
          </w:p>
        </w:tc>
        <w:tc>
          <w:tcPr>
            <w:tcW w:w="1688" w:type="pct"/>
            <w:gridSpan w:val="2"/>
            <w:tcBorders>
              <w:top w:val="single" w:sz="4" w:space="0" w:color="000000"/>
              <w:left w:val="single" w:sz="4" w:space="0" w:color="000000"/>
              <w:bottom w:val="single" w:sz="4" w:space="0" w:color="000000"/>
              <w:right w:val="single" w:sz="4" w:space="0" w:color="000000"/>
            </w:tcBorders>
          </w:tcPr>
          <w:p w:rsidR="00F9677D" w:rsidRPr="003271AA" w:rsidRDefault="00F9677D" w:rsidP="00F9677D">
            <w:pPr>
              <w:spacing w:line="276" w:lineRule="auto"/>
              <w:jc w:val="center"/>
              <w:rPr>
                <w:sz w:val="24"/>
              </w:rPr>
            </w:pPr>
            <w:r w:rsidRPr="003271AA">
              <w:rPr>
                <w:rFonts w:hint="eastAsia"/>
                <w:sz w:val="24"/>
              </w:rPr>
              <w:t>2025</w:t>
            </w:r>
            <w:r w:rsidRPr="003271AA">
              <w:rPr>
                <w:rFonts w:hint="eastAsia"/>
                <w:sz w:val="24"/>
              </w:rPr>
              <w:t>年</w:t>
            </w:r>
            <w:r w:rsidR="005E4A49">
              <w:rPr>
                <w:sz w:val="24"/>
              </w:rPr>
              <w:t>12</w:t>
            </w:r>
            <w:r w:rsidRPr="003271AA">
              <w:rPr>
                <w:rFonts w:hint="eastAsia"/>
                <w:sz w:val="24"/>
              </w:rPr>
              <w:t>月</w:t>
            </w:r>
            <w:r w:rsidR="005E4A49">
              <w:rPr>
                <w:sz w:val="24"/>
              </w:rPr>
              <w:t>30</w:t>
            </w:r>
            <w:r w:rsidRPr="003271AA">
              <w:rPr>
                <w:rFonts w:hint="eastAsia"/>
                <w:sz w:val="24"/>
              </w:rPr>
              <w:t>日</w:t>
            </w:r>
          </w:p>
        </w:tc>
      </w:tr>
      <w:tr w:rsidR="00F9677D" w:rsidTr="00667B1D">
        <w:tblPrEx>
          <w:tblBorders>
            <w:top w:val="none" w:sz="0" w:space="0" w:color="auto"/>
            <w:bottom w:val="none" w:sz="0" w:space="0" w:color="auto"/>
            <w:insideH w:val="none" w:sz="0" w:space="0" w:color="auto"/>
          </w:tblBorders>
        </w:tblPrEx>
        <w:trPr>
          <w:trHeight w:val="20"/>
          <w:jc w:val="center"/>
        </w:trPr>
        <w:tc>
          <w:tcPr>
            <w:tcW w:w="1625" w:type="pct"/>
            <w:vMerge/>
            <w:tcBorders>
              <w:top w:val="single" w:sz="4" w:space="0" w:color="auto"/>
              <w:left w:val="single" w:sz="4" w:space="0" w:color="auto"/>
              <w:right w:val="single" w:sz="4" w:space="0" w:color="auto"/>
            </w:tcBorders>
            <w:vAlign w:val="center"/>
          </w:tcPr>
          <w:p w:rsidR="00F9677D" w:rsidRDefault="00F9677D" w:rsidP="00F9677D">
            <w:pPr>
              <w:spacing w:line="276" w:lineRule="auto"/>
              <w:rPr>
                <w:sz w:val="24"/>
              </w:rPr>
            </w:pP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9677D" w:rsidRDefault="00F9677D" w:rsidP="00F9677D">
            <w:pPr>
              <w:spacing w:line="276" w:lineRule="auto"/>
              <w:jc w:val="center"/>
              <w:rPr>
                <w:sz w:val="24"/>
              </w:rPr>
            </w:pPr>
            <w:r>
              <w:rPr>
                <w:sz w:val="24"/>
              </w:rPr>
              <w:t>暂停定期定额投资起始日</w:t>
            </w:r>
          </w:p>
        </w:tc>
        <w:tc>
          <w:tcPr>
            <w:tcW w:w="1688" w:type="pct"/>
            <w:gridSpan w:val="2"/>
            <w:tcBorders>
              <w:top w:val="single" w:sz="4" w:space="0" w:color="000000"/>
              <w:left w:val="single" w:sz="4" w:space="0" w:color="000000"/>
              <w:bottom w:val="single" w:sz="4" w:space="0" w:color="000000"/>
              <w:right w:val="single" w:sz="4" w:space="0" w:color="000000"/>
            </w:tcBorders>
          </w:tcPr>
          <w:p w:rsidR="00F9677D" w:rsidRPr="003271AA" w:rsidRDefault="00F9677D" w:rsidP="00F9677D">
            <w:pPr>
              <w:spacing w:line="276" w:lineRule="auto"/>
              <w:jc w:val="center"/>
              <w:rPr>
                <w:sz w:val="24"/>
              </w:rPr>
            </w:pPr>
            <w:r w:rsidRPr="003271AA">
              <w:rPr>
                <w:rFonts w:hint="eastAsia"/>
                <w:sz w:val="24"/>
              </w:rPr>
              <w:t>2025</w:t>
            </w:r>
            <w:r w:rsidRPr="003271AA">
              <w:rPr>
                <w:rFonts w:hint="eastAsia"/>
                <w:sz w:val="24"/>
              </w:rPr>
              <w:t>年</w:t>
            </w:r>
            <w:r w:rsidR="005E4A49">
              <w:rPr>
                <w:sz w:val="24"/>
              </w:rPr>
              <w:t>12</w:t>
            </w:r>
            <w:r w:rsidRPr="003271AA">
              <w:rPr>
                <w:rFonts w:hint="eastAsia"/>
                <w:sz w:val="24"/>
              </w:rPr>
              <w:t>月</w:t>
            </w:r>
            <w:r w:rsidR="005E4A49">
              <w:rPr>
                <w:sz w:val="24"/>
              </w:rPr>
              <w:t>30</w:t>
            </w:r>
            <w:r w:rsidRPr="003271AA">
              <w:rPr>
                <w:rFonts w:hint="eastAsia"/>
                <w:sz w:val="24"/>
              </w:rPr>
              <w:t>日</w:t>
            </w:r>
          </w:p>
        </w:tc>
      </w:tr>
      <w:tr w:rsidR="00FE40F7" w:rsidTr="00087E36">
        <w:trPr>
          <w:trHeight w:val="20"/>
          <w:jc w:val="center"/>
        </w:trPr>
        <w:tc>
          <w:tcPr>
            <w:tcW w:w="1625" w:type="pct"/>
            <w:vMerge/>
            <w:tcBorders>
              <w:left w:val="single" w:sz="4" w:space="0" w:color="auto"/>
              <w:right w:val="single" w:sz="4" w:space="0" w:color="auto"/>
            </w:tcBorders>
            <w:vAlign w:val="center"/>
          </w:tcPr>
          <w:p w:rsidR="00FE40F7" w:rsidRDefault="00FE40F7">
            <w:pPr>
              <w:spacing w:line="276" w:lineRule="auto"/>
              <w:rPr>
                <w:sz w:val="24"/>
              </w:rPr>
            </w:pPr>
          </w:p>
        </w:tc>
        <w:tc>
          <w:tcPr>
            <w:tcW w:w="1687" w:type="pct"/>
            <w:gridSpan w:val="2"/>
            <w:tcBorders>
              <w:top w:val="single" w:sz="4" w:space="0" w:color="000000"/>
              <w:left w:val="single" w:sz="4" w:space="0" w:color="auto"/>
              <w:bottom w:val="single" w:sz="4" w:space="0" w:color="000000"/>
              <w:right w:val="single" w:sz="4" w:space="0" w:color="000000"/>
            </w:tcBorders>
            <w:vAlign w:val="center"/>
          </w:tcPr>
          <w:p w:rsidR="00FE40F7" w:rsidRDefault="00FE40F7">
            <w:pPr>
              <w:spacing w:line="276" w:lineRule="auto"/>
              <w:jc w:val="center"/>
              <w:rPr>
                <w:sz w:val="24"/>
              </w:rPr>
            </w:pPr>
            <w:r>
              <w:rPr>
                <w:sz w:val="24"/>
              </w:rPr>
              <w:t>暂停申购、转换转入、定期定额投资的原因说明</w:t>
            </w:r>
          </w:p>
        </w:tc>
        <w:tc>
          <w:tcPr>
            <w:tcW w:w="1688" w:type="pct"/>
            <w:gridSpan w:val="2"/>
            <w:tcBorders>
              <w:top w:val="single" w:sz="4" w:space="0" w:color="000000"/>
              <w:left w:val="single" w:sz="4" w:space="0" w:color="000000"/>
              <w:bottom w:val="single" w:sz="4" w:space="0" w:color="000000"/>
              <w:right w:val="single" w:sz="4" w:space="0" w:color="000000"/>
            </w:tcBorders>
            <w:vAlign w:val="center"/>
          </w:tcPr>
          <w:p w:rsidR="00FE40F7" w:rsidRDefault="00FE40F7">
            <w:pPr>
              <w:spacing w:line="276" w:lineRule="auto"/>
              <w:jc w:val="left"/>
              <w:rPr>
                <w:sz w:val="24"/>
              </w:rPr>
            </w:pPr>
            <w:r>
              <w:rPr>
                <w:sz w:val="24"/>
              </w:rPr>
              <w:t>保证平安金管家货币市场基金业绩和规模的良性增长，保护基金份额持有人利益。</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pPr>
              <w:spacing w:line="276" w:lineRule="auto"/>
              <w:rPr>
                <w:sz w:val="24"/>
              </w:rPr>
            </w:pPr>
            <w:r>
              <w:rPr>
                <w:sz w:val="24"/>
              </w:rPr>
              <w:t>下属基金份额的基金简称</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pPr>
              <w:spacing w:line="276" w:lineRule="auto"/>
              <w:jc w:val="center"/>
              <w:rPr>
                <w:sz w:val="24"/>
              </w:rPr>
            </w:pPr>
            <w:bookmarkStart w:id="1" w:name="t_3_1_3_fj_0011A_a1_fm1"/>
            <w:bookmarkEnd w:id="1"/>
            <w:r>
              <w:rPr>
                <w:sz w:val="24"/>
              </w:rPr>
              <w:t>平安金管家货币</w:t>
            </w:r>
            <w:r>
              <w:rPr>
                <w:sz w:val="24"/>
              </w:rPr>
              <w:t>A</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pPr>
              <w:spacing w:line="276" w:lineRule="auto"/>
              <w:jc w:val="center"/>
              <w:rPr>
                <w:sz w:val="24"/>
              </w:rPr>
            </w:pPr>
            <w:bookmarkStart w:id="2" w:name="t_3_1_3_fj_0011C_a1_fm1"/>
            <w:bookmarkStart w:id="3" w:name="t_3_1_3_fj_0011B_a1_fm1"/>
            <w:bookmarkEnd w:id="2"/>
            <w:bookmarkEnd w:id="3"/>
            <w:r>
              <w:rPr>
                <w:sz w:val="24"/>
              </w:rPr>
              <w:t>平安金管家货</w:t>
            </w:r>
          </w:p>
          <w:p w:rsidR="00087E36" w:rsidRDefault="00087E36">
            <w:pPr>
              <w:spacing w:line="276" w:lineRule="auto"/>
              <w:jc w:val="center"/>
              <w:rPr>
                <w:sz w:val="24"/>
              </w:rPr>
            </w:pPr>
            <w:r>
              <w:rPr>
                <w:sz w:val="24"/>
              </w:rPr>
              <w:t>币</w:t>
            </w:r>
            <w:r>
              <w:rPr>
                <w:sz w:val="24"/>
              </w:rPr>
              <w:t>C</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平安金管家货币</w:t>
            </w:r>
            <w:r>
              <w:rPr>
                <w:sz w:val="24"/>
              </w:rPr>
              <w:t>D</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pPr>
              <w:spacing w:line="276" w:lineRule="auto"/>
              <w:rPr>
                <w:sz w:val="24"/>
              </w:rPr>
            </w:pPr>
            <w:r>
              <w:rPr>
                <w:sz w:val="24"/>
              </w:rPr>
              <w:t>下属基金份额的交易代码</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pPr>
              <w:spacing w:line="276" w:lineRule="auto"/>
              <w:jc w:val="center"/>
              <w:rPr>
                <w:sz w:val="24"/>
              </w:rPr>
            </w:pPr>
            <w:bookmarkStart w:id="4" w:name="t_3_1_3_fj_0012A_a1_fm1"/>
            <w:bookmarkEnd w:id="4"/>
            <w:r>
              <w:rPr>
                <w:sz w:val="24"/>
              </w:rPr>
              <w:t>003465</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pPr>
              <w:spacing w:line="276" w:lineRule="auto"/>
              <w:jc w:val="center"/>
              <w:rPr>
                <w:sz w:val="24"/>
              </w:rPr>
            </w:pPr>
            <w:r>
              <w:rPr>
                <w:sz w:val="24"/>
              </w:rPr>
              <w:t>007730</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pPr>
              <w:spacing w:line="276" w:lineRule="auto"/>
              <w:jc w:val="center"/>
              <w:rPr>
                <w:sz w:val="24"/>
              </w:rPr>
            </w:pPr>
            <w:r w:rsidRPr="00087E36">
              <w:rPr>
                <w:sz w:val="24"/>
              </w:rPr>
              <w:t>022249</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rsidP="00087E36">
            <w:pPr>
              <w:spacing w:line="276" w:lineRule="auto"/>
              <w:rPr>
                <w:sz w:val="24"/>
              </w:rPr>
            </w:pPr>
            <w:r>
              <w:rPr>
                <w:sz w:val="24"/>
              </w:rPr>
              <w:t>该基金份额是否暂停申购</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rsidP="00087E36">
            <w:pPr>
              <w:spacing w:line="276" w:lineRule="auto"/>
              <w:jc w:val="center"/>
              <w:rPr>
                <w:sz w:val="24"/>
              </w:rPr>
            </w:pPr>
            <w:bookmarkStart w:id="5" w:name="t_3_1_3_fj_2810A_a1_fm1"/>
            <w:bookmarkEnd w:id="5"/>
            <w:r>
              <w:rPr>
                <w:sz w:val="24"/>
              </w:rPr>
              <w:t>是</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bookmarkStart w:id="6" w:name="t_3_1_3_fj_2810B_a1_fm1"/>
            <w:bookmarkStart w:id="7" w:name="t_3_1_3_fj_2810C_a1_fm1"/>
            <w:bookmarkEnd w:id="6"/>
            <w:bookmarkEnd w:id="7"/>
            <w:r>
              <w:rPr>
                <w:sz w:val="24"/>
              </w:rPr>
              <w:t>是</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r>
      <w:tr w:rsidR="00087E36" w:rsidTr="00201890">
        <w:trPr>
          <w:trHeight w:val="20"/>
          <w:jc w:val="center"/>
        </w:trPr>
        <w:tc>
          <w:tcPr>
            <w:tcW w:w="1625" w:type="pct"/>
            <w:tcBorders>
              <w:left w:val="single" w:sz="4" w:space="0" w:color="auto"/>
              <w:right w:val="single" w:sz="4" w:space="0" w:color="auto"/>
            </w:tcBorders>
            <w:vAlign w:val="center"/>
          </w:tcPr>
          <w:p w:rsidR="00087E36" w:rsidRDefault="00087E36" w:rsidP="00087E36">
            <w:pPr>
              <w:spacing w:line="276" w:lineRule="auto"/>
              <w:rPr>
                <w:sz w:val="24"/>
              </w:rPr>
            </w:pPr>
            <w:r>
              <w:rPr>
                <w:sz w:val="24"/>
              </w:rPr>
              <w:t>该基金份额是否暂停转换转入</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r>
      <w:tr w:rsidR="00087E36" w:rsidTr="00201890">
        <w:trPr>
          <w:trHeight w:val="20"/>
          <w:jc w:val="center"/>
        </w:trPr>
        <w:tc>
          <w:tcPr>
            <w:tcW w:w="1625" w:type="pct"/>
            <w:tcBorders>
              <w:left w:val="single" w:sz="4" w:space="0" w:color="auto"/>
              <w:bottom w:val="single" w:sz="4" w:space="0" w:color="auto"/>
              <w:right w:val="single" w:sz="4" w:space="0" w:color="auto"/>
            </w:tcBorders>
            <w:vAlign w:val="center"/>
          </w:tcPr>
          <w:p w:rsidR="00087E36" w:rsidRDefault="00087E36" w:rsidP="00087E36">
            <w:pPr>
              <w:spacing w:line="276" w:lineRule="auto"/>
              <w:rPr>
                <w:sz w:val="24"/>
              </w:rPr>
            </w:pPr>
            <w:r>
              <w:rPr>
                <w:sz w:val="24"/>
              </w:rPr>
              <w:t>该基金份额是否暂停定期定额投资</w:t>
            </w:r>
          </w:p>
        </w:tc>
        <w:tc>
          <w:tcPr>
            <w:tcW w:w="1100" w:type="pct"/>
            <w:tcBorders>
              <w:top w:val="single" w:sz="4" w:space="0" w:color="000000"/>
              <w:left w:val="single" w:sz="4" w:space="0" w:color="auto"/>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63" w:type="pct"/>
            <w:gridSpan w:val="2"/>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c>
          <w:tcPr>
            <w:tcW w:w="1112" w:type="pct"/>
            <w:tcBorders>
              <w:top w:val="single" w:sz="4" w:space="0" w:color="000000"/>
              <w:left w:val="single" w:sz="4" w:space="0" w:color="000000"/>
              <w:bottom w:val="single" w:sz="4" w:space="0" w:color="000000"/>
              <w:right w:val="single" w:sz="4" w:space="0" w:color="000000"/>
            </w:tcBorders>
            <w:vAlign w:val="center"/>
          </w:tcPr>
          <w:p w:rsidR="00087E36" w:rsidRDefault="00087E36" w:rsidP="00087E36">
            <w:pPr>
              <w:spacing w:line="276" w:lineRule="auto"/>
              <w:jc w:val="center"/>
              <w:rPr>
                <w:sz w:val="24"/>
              </w:rPr>
            </w:pPr>
            <w:r>
              <w:rPr>
                <w:sz w:val="24"/>
              </w:rPr>
              <w:t>是</w:t>
            </w:r>
          </w:p>
        </w:tc>
      </w:tr>
    </w:tbl>
    <w:p w:rsidR="00FE40F7" w:rsidRDefault="00FE40F7">
      <w:pPr>
        <w:autoSpaceDE w:val="0"/>
        <w:autoSpaceDN w:val="0"/>
        <w:adjustRightInd w:val="0"/>
        <w:spacing w:line="360" w:lineRule="auto"/>
        <w:jc w:val="left"/>
        <w:rPr>
          <w:b/>
          <w:color w:val="000000"/>
          <w:kern w:val="0"/>
          <w:sz w:val="24"/>
        </w:rPr>
      </w:pPr>
      <w:r>
        <w:rPr>
          <w:b/>
          <w:color w:val="000000"/>
          <w:kern w:val="0"/>
          <w:sz w:val="24"/>
        </w:rPr>
        <w:t>注：</w:t>
      </w: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）在暂停申购、转换转入及定期定额投资业务期间，平安金管家货币市场基金（以下简称</w:t>
      </w:r>
      <w:r>
        <w:rPr>
          <w:color w:val="000000"/>
          <w:kern w:val="0"/>
          <w:sz w:val="24"/>
        </w:rPr>
        <w:t xml:space="preserve"> "</w:t>
      </w:r>
      <w:r>
        <w:rPr>
          <w:color w:val="000000"/>
          <w:kern w:val="0"/>
          <w:sz w:val="24"/>
        </w:rPr>
        <w:t>本基金</w:t>
      </w:r>
      <w:r>
        <w:rPr>
          <w:color w:val="000000"/>
          <w:kern w:val="0"/>
          <w:sz w:val="24"/>
        </w:rPr>
        <w:t xml:space="preserve"> "</w:t>
      </w:r>
      <w:r>
        <w:rPr>
          <w:color w:val="000000"/>
          <w:kern w:val="0"/>
          <w:sz w:val="24"/>
        </w:rPr>
        <w:t>）的赎回业务、转换转出业务仍照常办理。</w:t>
      </w: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w:t>
      </w:r>
      <w:r w:rsidR="00F9677D">
        <w:rPr>
          <w:color w:val="000000"/>
          <w:kern w:val="0"/>
          <w:sz w:val="24"/>
        </w:rPr>
        <w:t>自</w:t>
      </w:r>
      <w:r w:rsidR="00F9677D">
        <w:rPr>
          <w:rFonts w:hint="eastAsia"/>
          <w:color w:val="000000"/>
          <w:kern w:val="0"/>
          <w:sz w:val="24"/>
        </w:rPr>
        <w:t>202</w:t>
      </w:r>
      <w:r w:rsidR="005E4A49">
        <w:rPr>
          <w:color w:val="000000"/>
          <w:kern w:val="0"/>
          <w:sz w:val="24"/>
        </w:rPr>
        <w:t>6</w:t>
      </w:r>
      <w:r w:rsidR="00F9677D">
        <w:rPr>
          <w:rFonts w:hint="eastAsia"/>
          <w:color w:val="000000"/>
          <w:kern w:val="0"/>
          <w:sz w:val="24"/>
        </w:rPr>
        <w:t>年</w:t>
      </w:r>
      <w:r w:rsidR="00F9677D">
        <w:rPr>
          <w:color w:val="000000"/>
          <w:kern w:val="0"/>
          <w:sz w:val="24"/>
        </w:rPr>
        <w:t>1</w:t>
      </w:r>
      <w:r w:rsidR="00F9677D">
        <w:rPr>
          <w:rFonts w:hint="eastAsia"/>
          <w:color w:val="000000"/>
          <w:kern w:val="0"/>
          <w:sz w:val="24"/>
        </w:rPr>
        <w:t>月</w:t>
      </w:r>
      <w:r w:rsidR="005E4A49">
        <w:rPr>
          <w:color w:val="000000"/>
          <w:kern w:val="0"/>
          <w:sz w:val="24"/>
        </w:rPr>
        <w:t>5</w:t>
      </w:r>
      <w:r w:rsidR="00F9677D">
        <w:rPr>
          <w:rFonts w:hint="eastAsia"/>
          <w:color w:val="000000"/>
          <w:kern w:val="0"/>
          <w:sz w:val="24"/>
        </w:rPr>
        <w:t>日</w:t>
      </w:r>
      <w:r w:rsidR="00F9677D">
        <w:rPr>
          <w:color w:val="000000"/>
          <w:kern w:val="0"/>
          <w:sz w:val="24"/>
        </w:rPr>
        <w:t>起，</w:t>
      </w:r>
      <w:r>
        <w:rPr>
          <w:color w:val="000000"/>
          <w:kern w:val="0"/>
          <w:sz w:val="24"/>
        </w:rPr>
        <w:t>本基金将恢复办理申购、定期定额投资及转换转</w:t>
      </w:r>
      <w:r>
        <w:rPr>
          <w:color w:val="000000"/>
          <w:kern w:val="0"/>
          <w:sz w:val="24"/>
        </w:rPr>
        <w:lastRenderedPageBreak/>
        <w:t>入业务，届时将不再另行公告。本基金恢复申购业务后，将仍然对大额申购业务进行限制，详见本公司相关公告。</w:t>
      </w: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3</w:t>
      </w:r>
      <w:r>
        <w:rPr>
          <w:color w:val="000000"/>
          <w:kern w:val="0"/>
          <w:sz w:val="24"/>
        </w:rPr>
        <w:t>）在此期间，本基金通过本公司直销柜台、网上交易系统</w:t>
      </w:r>
      <w:r w:rsidR="002002CB" w:rsidRPr="002002CB">
        <w:rPr>
          <w:rFonts w:hint="eastAsia"/>
          <w:color w:val="000000"/>
          <w:kern w:val="0"/>
          <w:sz w:val="24"/>
        </w:rPr>
        <w:t>中信银行股份有限公司、宁波银行股份有限公司、诺亚正行基金销售有限公司、上海天天基金销售有限公司、蚂蚁</w:t>
      </w:r>
      <w:r w:rsidR="002002CB" w:rsidRPr="002002CB">
        <w:rPr>
          <w:rFonts w:hint="eastAsia"/>
          <w:color w:val="000000"/>
          <w:kern w:val="0"/>
          <w:sz w:val="24"/>
        </w:rPr>
        <w:t>(</w:t>
      </w:r>
      <w:r w:rsidR="002002CB" w:rsidRPr="002002CB">
        <w:rPr>
          <w:rFonts w:hint="eastAsia"/>
          <w:color w:val="000000"/>
          <w:kern w:val="0"/>
          <w:sz w:val="24"/>
        </w:rPr>
        <w:t>杭州</w:t>
      </w:r>
      <w:r w:rsidR="002002CB" w:rsidRPr="002002CB">
        <w:rPr>
          <w:rFonts w:hint="eastAsia"/>
          <w:color w:val="000000"/>
          <w:kern w:val="0"/>
          <w:sz w:val="24"/>
        </w:rPr>
        <w:t>)</w:t>
      </w:r>
      <w:r w:rsidR="002002CB" w:rsidRPr="002002CB">
        <w:rPr>
          <w:rFonts w:hint="eastAsia"/>
          <w:color w:val="000000"/>
          <w:kern w:val="0"/>
          <w:sz w:val="24"/>
        </w:rPr>
        <w:t>基金销售有限公司、上海基煜基金销售有限公司、浙江同花顺基金销售有限公司、京东肯特瑞基金销售有限公司、招商银行股份有限公司（招赢通）、北京汇成基金销售有限公司、江苏银行股份有限公司、平安银行股份有限公司、上海银行股份有限公司、徽商银行股份有限公司、招商银行股份有限公司、兴业银行股份有限公司、民生银行股份有限公司、杭州银行股份有限公司、华夏银行股份有限公司、中国平安人寿保险股份有限公司、珠海盈米基金销售有限公司、上海陆金所基金销售公司、上海长量基金销售有限公司</w:t>
      </w:r>
      <w:r w:rsidR="002002CB" w:rsidRPr="002002CB">
        <w:rPr>
          <w:rFonts w:hint="eastAsia"/>
          <w:color w:val="000000"/>
          <w:kern w:val="0"/>
          <w:sz w:val="24"/>
        </w:rPr>
        <w:t xml:space="preserve"> </w:t>
      </w:r>
      <w:r w:rsidR="002002CB" w:rsidRPr="002002CB">
        <w:rPr>
          <w:rFonts w:hint="eastAsia"/>
          <w:color w:val="000000"/>
          <w:kern w:val="0"/>
          <w:sz w:val="24"/>
        </w:rPr>
        <w:t>、平安证券股份有限公司、招商证券股份有限公司、国信证券股份有限公司、奕丰基金销售有限公司、中国工商银行股份有限公司、上海中正达广基金销售有限公司、广发证券股份有限公司、华泰证券股份有限公司、光大证券股份有限公司、申万宏源证券有限公司、申万宏源西部证券有限公司、中信期货有限公司、中信证券股份有限公司、中信证券（山东）有限责任公司、中信证券华南股份有限公司、中信建投证券股份有限公司、</w:t>
      </w:r>
      <w:r w:rsidR="003B45FC">
        <w:rPr>
          <w:rFonts w:hint="eastAsia"/>
          <w:color w:val="000000"/>
          <w:kern w:val="0"/>
          <w:sz w:val="24"/>
        </w:rPr>
        <w:t>国联民生证券股份有限公司</w:t>
      </w:r>
      <w:r w:rsidR="002002CB" w:rsidRPr="002002CB">
        <w:rPr>
          <w:rFonts w:hint="eastAsia"/>
          <w:color w:val="000000"/>
          <w:kern w:val="0"/>
          <w:sz w:val="24"/>
        </w:rPr>
        <w:t>、</w:t>
      </w:r>
      <w:r w:rsidR="00E8667C" w:rsidRPr="00E8667C">
        <w:rPr>
          <w:rFonts w:hint="eastAsia"/>
          <w:color w:val="000000"/>
          <w:kern w:val="0"/>
          <w:sz w:val="24"/>
        </w:rPr>
        <w:t>东方财富证券股份有限公司</w:t>
      </w:r>
      <w:r w:rsidR="002002CB" w:rsidRPr="002002CB">
        <w:rPr>
          <w:rFonts w:hint="eastAsia"/>
          <w:color w:val="000000"/>
          <w:kern w:val="0"/>
          <w:sz w:val="24"/>
        </w:rPr>
        <w:t>、山西证券股份有限公司、华西证券股份有限公司、上海好买基金销售有限公司、</w:t>
      </w:r>
      <w:r w:rsidR="00542F46">
        <w:rPr>
          <w:rFonts w:hint="eastAsia"/>
          <w:color w:val="000000"/>
          <w:kern w:val="0"/>
          <w:sz w:val="24"/>
        </w:rPr>
        <w:t>中国</w:t>
      </w:r>
      <w:r w:rsidR="002002CB" w:rsidRPr="002002CB">
        <w:rPr>
          <w:rFonts w:hint="eastAsia"/>
          <w:color w:val="000000"/>
          <w:kern w:val="0"/>
          <w:sz w:val="24"/>
        </w:rPr>
        <w:t>银河证券股份有限公司、上海利得基金销售有限公司、上海万得基金销售有限公司、上海攀赢基金销售有限公司、上海联泰基金销售有限公司、泛华普益基金销售有限公司、深圳市前海排排网基金销售有限责任公司、中国建设银行股份有限公司、中国邮政储蓄银行股份有限公司</w:t>
      </w:r>
      <w:r w:rsidR="00CE59CD">
        <w:rPr>
          <w:rFonts w:hint="eastAsia"/>
          <w:color w:val="000000"/>
          <w:kern w:val="0"/>
          <w:sz w:val="24"/>
        </w:rPr>
        <w:t>、中国银行股份有限公司</w:t>
      </w:r>
      <w:r>
        <w:rPr>
          <w:color w:val="000000"/>
          <w:kern w:val="0"/>
          <w:sz w:val="24"/>
        </w:rPr>
        <w:t>的申购、定期定额投资及转换转入业务照常办理，敬请留意。</w:t>
      </w:r>
      <w:r w:rsidR="00F9677D">
        <w:rPr>
          <w:rFonts w:hint="eastAsia"/>
          <w:color w:val="000000"/>
          <w:kern w:val="0"/>
          <w:sz w:val="24"/>
        </w:rPr>
        <w:t>在上述销售机构</w:t>
      </w:r>
      <w:r w:rsidR="00F9677D">
        <w:rPr>
          <w:color w:val="000000"/>
          <w:kern w:val="0"/>
          <w:sz w:val="24"/>
        </w:rPr>
        <w:t>申购、定期定额投资及转换转入本基金的投资者于</w:t>
      </w:r>
      <w:r w:rsidR="00F9677D">
        <w:rPr>
          <w:color w:val="000000"/>
          <w:kern w:val="0"/>
          <w:sz w:val="24"/>
        </w:rPr>
        <w:t>2025</w:t>
      </w:r>
      <w:r w:rsidR="00F9677D">
        <w:rPr>
          <w:color w:val="000000"/>
          <w:kern w:val="0"/>
          <w:sz w:val="24"/>
        </w:rPr>
        <w:t>年</w:t>
      </w:r>
      <w:r w:rsidR="005E4A49">
        <w:rPr>
          <w:color w:val="000000"/>
          <w:kern w:val="0"/>
          <w:sz w:val="24"/>
        </w:rPr>
        <w:t>12</w:t>
      </w:r>
      <w:r w:rsidR="00F9677D">
        <w:rPr>
          <w:color w:val="000000"/>
          <w:kern w:val="0"/>
          <w:sz w:val="24"/>
        </w:rPr>
        <w:t>月</w:t>
      </w:r>
      <w:r w:rsidR="00F9677D">
        <w:rPr>
          <w:color w:val="000000"/>
          <w:kern w:val="0"/>
          <w:sz w:val="24"/>
        </w:rPr>
        <w:t>3</w:t>
      </w:r>
      <w:r w:rsidR="005E4A49">
        <w:rPr>
          <w:color w:val="000000"/>
          <w:kern w:val="0"/>
          <w:sz w:val="24"/>
        </w:rPr>
        <w:t>1</w:t>
      </w:r>
      <w:r w:rsidR="00F9677D">
        <w:rPr>
          <w:color w:val="000000"/>
          <w:kern w:val="0"/>
          <w:sz w:val="24"/>
        </w:rPr>
        <w:t>日提起的有效申购申请，注册登记机构将于</w:t>
      </w:r>
      <w:r w:rsidR="00F9677D">
        <w:rPr>
          <w:color w:val="000000"/>
          <w:kern w:val="0"/>
          <w:sz w:val="24"/>
        </w:rPr>
        <w:t>202</w:t>
      </w:r>
      <w:r w:rsidR="005E4A49">
        <w:rPr>
          <w:color w:val="000000"/>
          <w:kern w:val="0"/>
          <w:sz w:val="24"/>
        </w:rPr>
        <w:t>6</w:t>
      </w:r>
      <w:r w:rsidR="00F9677D">
        <w:rPr>
          <w:color w:val="000000"/>
          <w:kern w:val="0"/>
          <w:sz w:val="24"/>
        </w:rPr>
        <w:t>年</w:t>
      </w:r>
      <w:r w:rsidR="00F9677D" w:rsidRPr="00493E9F">
        <w:rPr>
          <w:rFonts w:hint="eastAsia"/>
          <w:color w:val="000000"/>
          <w:kern w:val="0"/>
          <w:sz w:val="24"/>
        </w:rPr>
        <w:t>1</w:t>
      </w:r>
      <w:r w:rsidR="00F9677D" w:rsidRPr="00493E9F">
        <w:rPr>
          <w:rFonts w:hint="eastAsia"/>
          <w:color w:val="000000"/>
          <w:kern w:val="0"/>
          <w:sz w:val="24"/>
        </w:rPr>
        <w:t>月</w:t>
      </w:r>
      <w:r w:rsidR="005E4A49">
        <w:rPr>
          <w:color w:val="000000"/>
          <w:kern w:val="0"/>
          <w:sz w:val="24"/>
        </w:rPr>
        <w:t>5</w:t>
      </w:r>
      <w:r w:rsidR="00F9677D" w:rsidRPr="00493E9F">
        <w:rPr>
          <w:rFonts w:hint="eastAsia"/>
          <w:color w:val="000000"/>
          <w:kern w:val="0"/>
          <w:sz w:val="24"/>
        </w:rPr>
        <w:t>日</w:t>
      </w:r>
      <w:r w:rsidR="00F9677D">
        <w:rPr>
          <w:color w:val="000000"/>
          <w:kern w:val="0"/>
          <w:sz w:val="24"/>
        </w:rPr>
        <w:t>进行确认，投资者将从</w:t>
      </w:r>
      <w:r w:rsidR="00F9677D">
        <w:rPr>
          <w:color w:val="000000"/>
          <w:kern w:val="0"/>
          <w:sz w:val="24"/>
        </w:rPr>
        <w:t>202</w:t>
      </w:r>
      <w:r w:rsidR="005E4A49">
        <w:rPr>
          <w:color w:val="000000"/>
          <w:kern w:val="0"/>
          <w:sz w:val="24"/>
        </w:rPr>
        <w:t>6</w:t>
      </w:r>
      <w:r w:rsidR="00F9677D">
        <w:rPr>
          <w:color w:val="000000"/>
          <w:kern w:val="0"/>
          <w:sz w:val="24"/>
        </w:rPr>
        <w:t>年</w:t>
      </w:r>
      <w:r w:rsidR="00F9677D" w:rsidRPr="00493E9F">
        <w:rPr>
          <w:rFonts w:hint="eastAsia"/>
          <w:color w:val="000000"/>
          <w:kern w:val="0"/>
          <w:sz w:val="24"/>
        </w:rPr>
        <w:t>1</w:t>
      </w:r>
      <w:r w:rsidR="00F9677D" w:rsidRPr="00493E9F">
        <w:rPr>
          <w:rFonts w:hint="eastAsia"/>
          <w:color w:val="000000"/>
          <w:kern w:val="0"/>
          <w:sz w:val="24"/>
        </w:rPr>
        <w:t>月</w:t>
      </w:r>
      <w:r w:rsidR="005E4A49">
        <w:rPr>
          <w:color w:val="000000"/>
          <w:kern w:val="0"/>
          <w:sz w:val="24"/>
        </w:rPr>
        <w:t>5</w:t>
      </w:r>
      <w:r w:rsidR="00F9677D" w:rsidRPr="00493E9F">
        <w:rPr>
          <w:rFonts w:hint="eastAsia"/>
          <w:color w:val="000000"/>
          <w:kern w:val="0"/>
          <w:sz w:val="24"/>
        </w:rPr>
        <w:t>日</w:t>
      </w:r>
      <w:r w:rsidR="00F9677D">
        <w:rPr>
          <w:color w:val="000000"/>
          <w:kern w:val="0"/>
          <w:sz w:val="24"/>
        </w:rPr>
        <w:t>起享受本基金的收益。</w:t>
      </w:r>
    </w:p>
    <w:p w:rsidR="00FE40F7" w:rsidRDefault="00FE40F7">
      <w:pPr>
        <w:autoSpaceDE w:val="0"/>
        <w:autoSpaceDN w:val="0"/>
        <w:adjustRightInd w:val="0"/>
        <w:spacing w:line="360" w:lineRule="auto"/>
        <w:ind w:firstLineChars="177" w:firstLine="426"/>
        <w:jc w:val="left"/>
        <w:rPr>
          <w:b/>
          <w:color w:val="000000"/>
          <w:kern w:val="0"/>
          <w:sz w:val="24"/>
        </w:rPr>
      </w:pPr>
      <w:r>
        <w:rPr>
          <w:b/>
          <w:color w:val="000000"/>
          <w:kern w:val="0"/>
          <w:sz w:val="24"/>
        </w:rPr>
        <w:t>2</w:t>
      </w:r>
      <w:r>
        <w:rPr>
          <w:b/>
          <w:color w:val="000000"/>
          <w:kern w:val="0"/>
          <w:sz w:val="24"/>
        </w:rPr>
        <w:t>、其他需要提示的事项</w:t>
      </w:r>
    </w:p>
    <w:p w:rsidR="00F9677D" w:rsidRDefault="00FE40F7" w:rsidP="00F9677D">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1</w:t>
      </w:r>
      <w:r>
        <w:rPr>
          <w:color w:val="000000"/>
          <w:kern w:val="0"/>
          <w:sz w:val="24"/>
        </w:rPr>
        <w:t>）根据法律法规及《平安金管家货币市场基金基金合同》的有关规定，</w:t>
      </w:r>
      <w:r w:rsidR="00F9677D">
        <w:rPr>
          <w:color w:val="000000"/>
          <w:kern w:val="0"/>
          <w:sz w:val="24"/>
        </w:rPr>
        <w:t>平安基金管理有限公司决定自</w:t>
      </w:r>
      <w:r w:rsidR="00F9677D">
        <w:rPr>
          <w:rFonts w:hint="eastAsia"/>
          <w:color w:val="000000"/>
          <w:kern w:val="0"/>
          <w:sz w:val="24"/>
        </w:rPr>
        <w:t>202</w:t>
      </w:r>
      <w:r w:rsidR="00F9677D">
        <w:rPr>
          <w:color w:val="000000"/>
          <w:kern w:val="0"/>
          <w:sz w:val="24"/>
        </w:rPr>
        <w:t>5</w:t>
      </w:r>
      <w:r w:rsidR="00F9677D">
        <w:rPr>
          <w:rFonts w:hint="eastAsia"/>
          <w:color w:val="000000"/>
          <w:kern w:val="0"/>
          <w:sz w:val="24"/>
        </w:rPr>
        <w:t>年</w:t>
      </w:r>
      <w:r w:rsidR="005E4A49">
        <w:rPr>
          <w:rFonts w:hint="eastAsia"/>
          <w:color w:val="000000"/>
          <w:kern w:val="0"/>
          <w:sz w:val="24"/>
        </w:rPr>
        <w:t>1</w:t>
      </w:r>
      <w:r w:rsidR="005E4A49">
        <w:rPr>
          <w:color w:val="000000"/>
          <w:kern w:val="0"/>
          <w:sz w:val="24"/>
        </w:rPr>
        <w:t>2</w:t>
      </w:r>
      <w:r w:rsidR="00F9677D">
        <w:rPr>
          <w:rFonts w:hint="eastAsia"/>
          <w:color w:val="000000"/>
          <w:kern w:val="0"/>
          <w:sz w:val="24"/>
        </w:rPr>
        <w:t>月</w:t>
      </w:r>
      <w:r w:rsidR="005E4A49">
        <w:rPr>
          <w:color w:val="000000"/>
          <w:kern w:val="0"/>
          <w:sz w:val="24"/>
        </w:rPr>
        <w:t>30</w:t>
      </w:r>
      <w:r w:rsidR="00F9677D">
        <w:rPr>
          <w:rFonts w:hint="eastAsia"/>
          <w:color w:val="000000"/>
          <w:kern w:val="0"/>
          <w:sz w:val="24"/>
        </w:rPr>
        <w:t>日至</w:t>
      </w:r>
      <w:r w:rsidR="00F9677D">
        <w:rPr>
          <w:rFonts w:hint="eastAsia"/>
          <w:color w:val="000000"/>
          <w:kern w:val="0"/>
          <w:sz w:val="24"/>
        </w:rPr>
        <w:t>202</w:t>
      </w:r>
      <w:r w:rsidR="005E4A49">
        <w:rPr>
          <w:color w:val="000000"/>
          <w:kern w:val="0"/>
          <w:sz w:val="24"/>
        </w:rPr>
        <w:t>6</w:t>
      </w:r>
      <w:r w:rsidR="00F9677D">
        <w:rPr>
          <w:rFonts w:hint="eastAsia"/>
          <w:color w:val="000000"/>
          <w:kern w:val="0"/>
          <w:sz w:val="24"/>
        </w:rPr>
        <w:t>年</w:t>
      </w:r>
      <w:r w:rsidR="00F9677D">
        <w:rPr>
          <w:color w:val="000000"/>
          <w:kern w:val="0"/>
          <w:sz w:val="24"/>
        </w:rPr>
        <w:t>1</w:t>
      </w:r>
      <w:r w:rsidR="00F9677D">
        <w:rPr>
          <w:rFonts w:hint="eastAsia"/>
          <w:color w:val="000000"/>
          <w:kern w:val="0"/>
          <w:sz w:val="24"/>
        </w:rPr>
        <w:t>月</w:t>
      </w:r>
      <w:r w:rsidR="005E4A49">
        <w:rPr>
          <w:color w:val="000000"/>
          <w:kern w:val="0"/>
          <w:sz w:val="24"/>
        </w:rPr>
        <w:t>4</w:t>
      </w:r>
      <w:r w:rsidR="00F9677D">
        <w:rPr>
          <w:rFonts w:hint="eastAsia"/>
          <w:color w:val="000000"/>
          <w:kern w:val="0"/>
          <w:sz w:val="24"/>
        </w:rPr>
        <w:t>日</w:t>
      </w:r>
      <w:r w:rsidR="00F9677D">
        <w:rPr>
          <w:color w:val="000000"/>
          <w:kern w:val="0"/>
          <w:sz w:val="24"/>
        </w:rPr>
        <w:t>暂停本基金的申</w:t>
      </w:r>
      <w:r w:rsidR="00F9677D">
        <w:rPr>
          <w:color w:val="000000"/>
          <w:kern w:val="0"/>
          <w:sz w:val="24"/>
        </w:rPr>
        <w:lastRenderedPageBreak/>
        <w:t>购、定期定额投资及转换转入业务。投资者于</w:t>
      </w:r>
      <w:r w:rsidR="00F9677D">
        <w:rPr>
          <w:rFonts w:hint="eastAsia"/>
          <w:color w:val="000000"/>
          <w:kern w:val="0"/>
          <w:sz w:val="24"/>
        </w:rPr>
        <w:t>202</w:t>
      </w:r>
      <w:r w:rsidR="00F9677D">
        <w:rPr>
          <w:color w:val="000000"/>
          <w:kern w:val="0"/>
          <w:sz w:val="24"/>
        </w:rPr>
        <w:t>5</w:t>
      </w:r>
      <w:r w:rsidR="00F9677D">
        <w:rPr>
          <w:rFonts w:hint="eastAsia"/>
          <w:color w:val="000000"/>
          <w:kern w:val="0"/>
          <w:sz w:val="24"/>
        </w:rPr>
        <w:t>年</w:t>
      </w:r>
      <w:r w:rsidR="005E4A49">
        <w:rPr>
          <w:color w:val="000000"/>
          <w:kern w:val="0"/>
          <w:sz w:val="24"/>
        </w:rPr>
        <w:t>12</w:t>
      </w:r>
      <w:r w:rsidR="00F9677D">
        <w:rPr>
          <w:rFonts w:hint="eastAsia"/>
          <w:color w:val="000000"/>
          <w:kern w:val="0"/>
          <w:sz w:val="24"/>
        </w:rPr>
        <w:t>月</w:t>
      </w:r>
      <w:r w:rsidR="00F9677D">
        <w:rPr>
          <w:color w:val="000000"/>
          <w:kern w:val="0"/>
          <w:sz w:val="24"/>
        </w:rPr>
        <w:t>2</w:t>
      </w:r>
      <w:r w:rsidR="005E4A49">
        <w:rPr>
          <w:color w:val="000000"/>
          <w:kern w:val="0"/>
          <w:sz w:val="24"/>
        </w:rPr>
        <w:t>9</w:t>
      </w:r>
      <w:r w:rsidR="00F9677D">
        <w:rPr>
          <w:rFonts w:hint="eastAsia"/>
          <w:color w:val="000000"/>
          <w:kern w:val="0"/>
          <w:sz w:val="24"/>
        </w:rPr>
        <w:t>日</w:t>
      </w:r>
      <w:r w:rsidR="00F9677D">
        <w:rPr>
          <w:color w:val="000000"/>
          <w:kern w:val="0"/>
          <w:sz w:val="24"/>
        </w:rPr>
        <w:t>15:00</w:t>
      </w:r>
      <w:r w:rsidR="00F9677D">
        <w:rPr>
          <w:color w:val="000000"/>
          <w:kern w:val="0"/>
          <w:sz w:val="24"/>
        </w:rPr>
        <w:t>后提交的上述业务申请，本基金管理人有权拒绝受理。</w:t>
      </w:r>
    </w:p>
    <w:p w:rsidR="00E52C36" w:rsidRDefault="00F9677D" w:rsidP="00F9677D">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2</w:t>
      </w:r>
      <w:r>
        <w:rPr>
          <w:color w:val="000000"/>
          <w:kern w:val="0"/>
          <w:sz w:val="24"/>
        </w:rPr>
        <w:t>）根据《</w:t>
      </w:r>
      <w:r w:rsidRPr="00B95FE7">
        <w:rPr>
          <w:rFonts w:hint="eastAsia"/>
          <w:color w:val="000000"/>
          <w:kern w:val="0"/>
          <w:sz w:val="24"/>
        </w:rPr>
        <w:t>国务院办公厅关于</w:t>
      </w:r>
      <w:r w:rsidRPr="00B95FE7">
        <w:rPr>
          <w:rFonts w:hint="eastAsia"/>
          <w:color w:val="000000"/>
          <w:kern w:val="0"/>
          <w:sz w:val="24"/>
        </w:rPr>
        <w:t>202</w:t>
      </w:r>
      <w:r w:rsidR="005E4A49">
        <w:rPr>
          <w:color w:val="000000"/>
          <w:kern w:val="0"/>
          <w:sz w:val="24"/>
        </w:rPr>
        <w:t>6</w:t>
      </w:r>
      <w:r w:rsidRPr="00B95FE7">
        <w:rPr>
          <w:rFonts w:hint="eastAsia"/>
          <w:color w:val="000000"/>
          <w:kern w:val="0"/>
          <w:sz w:val="24"/>
        </w:rPr>
        <w:t>年部分节假日安排的通知</w:t>
      </w:r>
      <w:r>
        <w:rPr>
          <w:color w:val="000000"/>
          <w:kern w:val="0"/>
          <w:sz w:val="24"/>
        </w:rPr>
        <w:t>》（国办发明电〔</w:t>
      </w:r>
      <w:r>
        <w:rPr>
          <w:color w:val="000000"/>
          <w:kern w:val="0"/>
          <w:sz w:val="24"/>
        </w:rPr>
        <w:t>202</w:t>
      </w:r>
      <w:r w:rsidR="005E4A49">
        <w:rPr>
          <w:color w:val="000000"/>
          <w:kern w:val="0"/>
          <w:sz w:val="24"/>
        </w:rPr>
        <w:t>5</w:t>
      </w:r>
      <w:r>
        <w:rPr>
          <w:color w:val="000000"/>
          <w:kern w:val="0"/>
          <w:sz w:val="24"/>
        </w:rPr>
        <w:t>〕</w:t>
      </w:r>
      <w:r w:rsidR="005E4A49">
        <w:rPr>
          <w:color w:val="000000"/>
          <w:kern w:val="0"/>
          <w:sz w:val="24"/>
        </w:rPr>
        <w:t>7</w:t>
      </w:r>
      <w:r>
        <w:rPr>
          <w:color w:val="000000"/>
          <w:kern w:val="0"/>
          <w:sz w:val="24"/>
        </w:rPr>
        <w:t>号）及沪深证券交易所休市安排，</w:t>
      </w:r>
      <w:r>
        <w:rPr>
          <w:color w:val="000000"/>
          <w:kern w:val="0"/>
          <w:sz w:val="24"/>
        </w:rPr>
        <w:t>202</w:t>
      </w:r>
      <w:r w:rsidR="00421AD5">
        <w:rPr>
          <w:color w:val="000000"/>
          <w:kern w:val="0"/>
          <w:sz w:val="24"/>
        </w:rPr>
        <w:t>6</w:t>
      </w:r>
      <w:r>
        <w:rPr>
          <w:color w:val="000000"/>
          <w:kern w:val="0"/>
          <w:sz w:val="24"/>
        </w:rPr>
        <w:t>年</w:t>
      </w:r>
      <w:r>
        <w:rPr>
          <w:color w:val="000000"/>
          <w:kern w:val="0"/>
          <w:sz w:val="24"/>
        </w:rPr>
        <w:t>1</w:t>
      </w:r>
      <w:r>
        <w:rPr>
          <w:rFonts w:hint="eastAsia"/>
          <w:color w:val="000000"/>
          <w:kern w:val="0"/>
          <w:sz w:val="24"/>
        </w:rPr>
        <w:t>月</w:t>
      </w:r>
      <w:r>
        <w:rPr>
          <w:color w:val="000000"/>
          <w:kern w:val="0"/>
          <w:sz w:val="24"/>
        </w:rPr>
        <w:t>1</w:t>
      </w:r>
      <w:r>
        <w:rPr>
          <w:rFonts w:hint="eastAsia"/>
          <w:color w:val="000000"/>
          <w:kern w:val="0"/>
          <w:sz w:val="24"/>
        </w:rPr>
        <w:t>日</w:t>
      </w:r>
      <w:r>
        <w:rPr>
          <w:color w:val="000000"/>
          <w:kern w:val="0"/>
          <w:sz w:val="24"/>
        </w:rPr>
        <w:t>至</w:t>
      </w:r>
      <w:r>
        <w:rPr>
          <w:color w:val="000000"/>
          <w:kern w:val="0"/>
          <w:sz w:val="24"/>
        </w:rPr>
        <w:t>202</w:t>
      </w:r>
      <w:r w:rsidR="00421AD5">
        <w:rPr>
          <w:color w:val="000000"/>
          <w:kern w:val="0"/>
          <w:sz w:val="24"/>
        </w:rPr>
        <w:t>6</w:t>
      </w:r>
      <w:r>
        <w:rPr>
          <w:color w:val="000000"/>
          <w:kern w:val="0"/>
          <w:sz w:val="24"/>
        </w:rPr>
        <w:t>年</w:t>
      </w:r>
      <w:r>
        <w:rPr>
          <w:color w:val="000000"/>
          <w:kern w:val="0"/>
          <w:sz w:val="24"/>
        </w:rPr>
        <w:t>1</w:t>
      </w:r>
      <w:r>
        <w:rPr>
          <w:rFonts w:hint="eastAsia"/>
          <w:color w:val="000000"/>
          <w:kern w:val="0"/>
          <w:sz w:val="24"/>
        </w:rPr>
        <w:t>月</w:t>
      </w:r>
      <w:r w:rsidR="00421AD5">
        <w:rPr>
          <w:color w:val="000000"/>
          <w:kern w:val="0"/>
          <w:sz w:val="24"/>
        </w:rPr>
        <w:t>4</w:t>
      </w:r>
      <w:r>
        <w:rPr>
          <w:rFonts w:hint="eastAsia"/>
          <w:color w:val="000000"/>
          <w:kern w:val="0"/>
          <w:sz w:val="24"/>
        </w:rPr>
        <w:t>日</w:t>
      </w:r>
      <w:r>
        <w:rPr>
          <w:color w:val="000000"/>
          <w:kern w:val="0"/>
          <w:sz w:val="24"/>
        </w:rPr>
        <w:t>休市，</w:t>
      </w:r>
      <w:r>
        <w:rPr>
          <w:color w:val="000000"/>
          <w:kern w:val="0"/>
          <w:sz w:val="24"/>
        </w:rPr>
        <w:t>202</w:t>
      </w:r>
      <w:r w:rsidR="005E4A49">
        <w:rPr>
          <w:color w:val="000000"/>
          <w:kern w:val="0"/>
          <w:sz w:val="24"/>
        </w:rPr>
        <w:t>6</w:t>
      </w:r>
      <w:r>
        <w:rPr>
          <w:color w:val="000000"/>
          <w:kern w:val="0"/>
          <w:sz w:val="24"/>
        </w:rPr>
        <w:t>年</w:t>
      </w:r>
      <w:r>
        <w:rPr>
          <w:color w:val="000000"/>
          <w:kern w:val="0"/>
          <w:sz w:val="24"/>
        </w:rPr>
        <w:t>1</w:t>
      </w:r>
      <w:r>
        <w:rPr>
          <w:color w:val="000000"/>
          <w:kern w:val="0"/>
          <w:sz w:val="24"/>
        </w:rPr>
        <w:t>月</w:t>
      </w:r>
      <w:r w:rsidR="005E4A49">
        <w:rPr>
          <w:color w:val="000000"/>
          <w:kern w:val="0"/>
          <w:sz w:val="24"/>
        </w:rPr>
        <w:t>5</w:t>
      </w:r>
      <w:r>
        <w:rPr>
          <w:color w:val="000000"/>
          <w:kern w:val="0"/>
          <w:sz w:val="24"/>
        </w:rPr>
        <w:t>日起照常开市。请投资者及早做好交易安排，避免因交易跨</w:t>
      </w:r>
      <w:r w:rsidR="002002CB">
        <w:rPr>
          <w:rFonts w:hint="eastAsia"/>
          <w:color w:val="000000"/>
          <w:kern w:val="0"/>
          <w:sz w:val="24"/>
        </w:rPr>
        <w:t>元旦</w:t>
      </w:r>
      <w:r>
        <w:rPr>
          <w:color w:val="000000"/>
          <w:kern w:val="0"/>
          <w:sz w:val="24"/>
        </w:rPr>
        <w:t>假期带来不便及资金在途的损失。</w:t>
      </w:r>
    </w:p>
    <w:p w:rsidR="00FE40F7" w:rsidRDefault="00E52C36" w:rsidP="00E52C36">
      <w:pPr>
        <w:autoSpaceDE w:val="0"/>
        <w:autoSpaceDN w:val="0"/>
        <w:adjustRightInd w:val="0"/>
        <w:spacing w:line="360" w:lineRule="auto"/>
        <w:ind w:firstLineChars="177" w:firstLine="425"/>
        <w:jc w:val="left"/>
        <w:rPr>
          <w:color w:val="000000"/>
          <w:kern w:val="0"/>
          <w:sz w:val="24"/>
        </w:rPr>
      </w:pPr>
      <w:r>
        <w:rPr>
          <w:color w:val="000000"/>
          <w:kern w:val="0"/>
          <w:sz w:val="24"/>
        </w:rPr>
        <w:t>（</w:t>
      </w:r>
      <w:r>
        <w:rPr>
          <w:color w:val="000000"/>
          <w:kern w:val="0"/>
          <w:sz w:val="24"/>
        </w:rPr>
        <w:t>3</w:t>
      </w:r>
      <w:r>
        <w:rPr>
          <w:color w:val="000000"/>
          <w:kern w:val="0"/>
          <w:sz w:val="24"/>
        </w:rPr>
        <w:t>）如有疑问，可拨打平安基金管理有限公司客户服务电话：</w:t>
      </w:r>
      <w:r>
        <w:rPr>
          <w:color w:val="000000"/>
          <w:kern w:val="0"/>
          <w:sz w:val="24"/>
        </w:rPr>
        <w:t>400-800-4800</w:t>
      </w:r>
      <w:r>
        <w:rPr>
          <w:color w:val="000000"/>
          <w:kern w:val="0"/>
          <w:sz w:val="24"/>
        </w:rPr>
        <w:t>进行咨询，或登陆公司网站</w:t>
      </w:r>
      <w:r>
        <w:rPr>
          <w:color w:val="000000"/>
          <w:kern w:val="0"/>
          <w:sz w:val="24"/>
        </w:rPr>
        <w:t>fund.pingan.com</w:t>
      </w:r>
      <w:r>
        <w:rPr>
          <w:color w:val="000000"/>
          <w:kern w:val="0"/>
          <w:sz w:val="24"/>
        </w:rPr>
        <w:t>获得相关信息。</w:t>
      </w:r>
    </w:p>
    <w:p w:rsidR="00FE40F7" w:rsidRDefault="00FE40F7">
      <w:pPr>
        <w:autoSpaceDE w:val="0"/>
        <w:autoSpaceDN w:val="0"/>
        <w:adjustRightInd w:val="0"/>
        <w:spacing w:line="360" w:lineRule="auto"/>
        <w:ind w:firstLineChars="177" w:firstLine="425"/>
        <w:jc w:val="left"/>
        <w:rPr>
          <w:color w:val="000000"/>
          <w:kern w:val="0"/>
          <w:sz w:val="24"/>
        </w:rPr>
      </w:pPr>
    </w:p>
    <w:p w:rsidR="00FE40F7" w:rsidRDefault="00FE40F7">
      <w:pPr>
        <w:autoSpaceDE w:val="0"/>
        <w:autoSpaceDN w:val="0"/>
        <w:adjustRightInd w:val="0"/>
        <w:spacing w:line="360" w:lineRule="auto"/>
        <w:ind w:firstLineChars="177" w:firstLine="425"/>
        <w:jc w:val="left"/>
        <w:rPr>
          <w:color w:val="000000"/>
          <w:kern w:val="0"/>
          <w:sz w:val="24"/>
        </w:rPr>
      </w:pPr>
      <w:r>
        <w:rPr>
          <w:color w:val="000000"/>
          <w:kern w:val="0"/>
          <w:sz w:val="24"/>
        </w:rPr>
        <w:t>风险提示：本公司承诺以诚实信用、勤勉尽责的原则管理和运用基金资产，投资者购买货币市场基金并不等于将资金作为存款存放在银行或者存款类金融机构，基金管理人不保证基金一定盈利，也不保证最低收益。</w:t>
      </w:r>
    </w:p>
    <w:p w:rsidR="00FE40F7" w:rsidRDefault="00FE40F7">
      <w:pPr>
        <w:adjustRightInd w:val="0"/>
        <w:snapToGrid w:val="0"/>
        <w:spacing w:line="360" w:lineRule="auto"/>
        <w:rPr>
          <w:color w:val="000000"/>
          <w:sz w:val="24"/>
        </w:rPr>
      </w:pPr>
    </w:p>
    <w:p w:rsidR="00FE40F7" w:rsidRDefault="00FE40F7">
      <w:pPr>
        <w:adjustRightInd w:val="0"/>
        <w:snapToGrid w:val="0"/>
        <w:spacing w:line="360" w:lineRule="auto"/>
        <w:ind w:firstLineChars="200" w:firstLine="480"/>
        <w:jc w:val="right"/>
        <w:rPr>
          <w:color w:val="000000"/>
          <w:kern w:val="0"/>
          <w:sz w:val="24"/>
        </w:rPr>
      </w:pPr>
      <w:r>
        <w:rPr>
          <w:color w:val="000000"/>
          <w:kern w:val="0"/>
          <w:sz w:val="24"/>
        </w:rPr>
        <w:t>平安基金管理有限公司</w:t>
      </w:r>
    </w:p>
    <w:p w:rsidR="00FE40F7" w:rsidRDefault="00201890" w:rsidP="00E52C36">
      <w:pPr>
        <w:spacing w:line="360" w:lineRule="auto"/>
        <w:jc w:val="right"/>
        <w:rPr>
          <w:color w:val="000000"/>
          <w:kern w:val="0"/>
          <w:sz w:val="24"/>
        </w:rPr>
      </w:pPr>
      <w:r>
        <w:rPr>
          <w:rFonts w:hint="eastAsia"/>
          <w:color w:val="000000"/>
          <w:kern w:val="0"/>
          <w:sz w:val="24"/>
        </w:rPr>
        <w:t>202</w:t>
      </w:r>
      <w:r>
        <w:rPr>
          <w:color w:val="000000"/>
          <w:kern w:val="0"/>
          <w:sz w:val="24"/>
        </w:rPr>
        <w:t>5</w:t>
      </w:r>
      <w:r>
        <w:rPr>
          <w:rFonts w:hint="eastAsia"/>
          <w:color w:val="000000"/>
          <w:kern w:val="0"/>
          <w:sz w:val="24"/>
        </w:rPr>
        <w:t>年</w:t>
      </w:r>
      <w:r w:rsidR="005E4A49">
        <w:rPr>
          <w:color w:val="000000"/>
          <w:kern w:val="0"/>
          <w:sz w:val="24"/>
        </w:rPr>
        <w:t>12</w:t>
      </w:r>
      <w:r w:rsidRPr="003271AA">
        <w:rPr>
          <w:rFonts w:hint="eastAsia"/>
          <w:color w:val="000000"/>
          <w:kern w:val="0"/>
          <w:sz w:val="24"/>
        </w:rPr>
        <w:t>月</w:t>
      </w:r>
      <w:r w:rsidRPr="003271AA">
        <w:rPr>
          <w:rFonts w:hint="eastAsia"/>
          <w:color w:val="000000"/>
          <w:kern w:val="0"/>
          <w:sz w:val="24"/>
        </w:rPr>
        <w:t>2</w:t>
      </w:r>
      <w:r w:rsidR="005E4A49">
        <w:rPr>
          <w:color w:val="000000"/>
          <w:kern w:val="0"/>
          <w:sz w:val="24"/>
        </w:rPr>
        <w:t>9</w:t>
      </w:r>
      <w:r w:rsidRPr="003271AA">
        <w:rPr>
          <w:rFonts w:hint="eastAsia"/>
          <w:color w:val="000000"/>
          <w:kern w:val="0"/>
          <w:sz w:val="24"/>
        </w:rPr>
        <w:t>日</w:t>
      </w:r>
    </w:p>
    <w:sectPr w:rsidR="00FE40F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D42" w:rsidRDefault="00FB2D42" w:rsidP="00B05C00">
      <w:r>
        <w:separator/>
      </w:r>
    </w:p>
  </w:endnote>
  <w:endnote w:type="continuationSeparator" w:id="0">
    <w:p w:rsidR="00FB2D42" w:rsidRDefault="00FB2D42" w:rsidP="00B05C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D42" w:rsidRDefault="00FB2D42" w:rsidP="00B05C00">
      <w:r>
        <w:separator/>
      </w:r>
    </w:p>
  </w:footnote>
  <w:footnote w:type="continuationSeparator" w:id="0">
    <w:p w:rsidR="00FB2D42" w:rsidRDefault="00FB2D42" w:rsidP="00B05C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517F"/>
    <w:rsid w:val="000012DA"/>
    <w:rsid w:val="000212F8"/>
    <w:rsid w:val="000334BB"/>
    <w:rsid w:val="00052A18"/>
    <w:rsid w:val="0006686C"/>
    <w:rsid w:val="000873FF"/>
    <w:rsid w:val="00087E36"/>
    <w:rsid w:val="000905AD"/>
    <w:rsid w:val="000957E2"/>
    <w:rsid w:val="000A32C0"/>
    <w:rsid w:val="000A4C9D"/>
    <w:rsid w:val="000A4CF0"/>
    <w:rsid w:val="000A70D6"/>
    <w:rsid w:val="000B7BBB"/>
    <w:rsid w:val="000C3468"/>
    <w:rsid w:val="000C3ADC"/>
    <w:rsid w:val="000D510B"/>
    <w:rsid w:val="000E6B39"/>
    <w:rsid w:val="000F0BCD"/>
    <w:rsid w:val="000F3B21"/>
    <w:rsid w:val="000F6CF3"/>
    <w:rsid w:val="00117962"/>
    <w:rsid w:val="00121071"/>
    <w:rsid w:val="001218AC"/>
    <w:rsid w:val="001420C5"/>
    <w:rsid w:val="00143CBA"/>
    <w:rsid w:val="00147007"/>
    <w:rsid w:val="00147D03"/>
    <w:rsid w:val="00151C3F"/>
    <w:rsid w:val="00153BA3"/>
    <w:rsid w:val="001605A0"/>
    <w:rsid w:val="0018129D"/>
    <w:rsid w:val="00181CF0"/>
    <w:rsid w:val="00193FBB"/>
    <w:rsid w:val="00195A4A"/>
    <w:rsid w:val="001B61D8"/>
    <w:rsid w:val="001B7D8A"/>
    <w:rsid w:val="001C3CF5"/>
    <w:rsid w:val="001F2924"/>
    <w:rsid w:val="001F61D4"/>
    <w:rsid w:val="002002CB"/>
    <w:rsid w:val="00201890"/>
    <w:rsid w:val="00207E9E"/>
    <w:rsid w:val="00213C05"/>
    <w:rsid w:val="0022059F"/>
    <w:rsid w:val="00224AFD"/>
    <w:rsid w:val="002458E7"/>
    <w:rsid w:val="0025049B"/>
    <w:rsid w:val="00253E3F"/>
    <w:rsid w:val="00256D32"/>
    <w:rsid w:val="0026033D"/>
    <w:rsid w:val="002657AB"/>
    <w:rsid w:val="00275DFE"/>
    <w:rsid w:val="00284E72"/>
    <w:rsid w:val="00291EA3"/>
    <w:rsid w:val="00292CB1"/>
    <w:rsid w:val="002B2A05"/>
    <w:rsid w:val="002C2934"/>
    <w:rsid w:val="002D77F0"/>
    <w:rsid w:val="002E0BA6"/>
    <w:rsid w:val="002E555D"/>
    <w:rsid w:val="002E7BC5"/>
    <w:rsid w:val="002F54B9"/>
    <w:rsid w:val="00303E9A"/>
    <w:rsid w:val="003042EE"/>
    <w:rsid w:val="00310E0C"/>
    <w:rsid w:val="003142A5"/>
    <w:rsid w:val="003226D8"/>
    <w:rsid w:val="00326498"/>
    <w:rsid w:val="003270A1"/>
    <w:rsid w:val="00335724"/>
    <w:rsid w:val="00340BDE"/>
    <w:rsid w:val="00351743"/>
    <w:rsid w:val="003518E5"/>
    <w:rsid w:val="0035564C"/>
    <w:rsid w:val="00357148"/>
    <w:rsid w:val="003661ED"/>
    <w:rsid w:val="00381C3D"/>
    <w:rsid w:val="003A17CE"/>
    <w:rsid w:val="003A4163"/>
    <w:rsid w:val="003B27C7"/>
    <w:rsid w:val="003B3474"/>
    <w:rsid w:val="003B45FC"/>
    <w:rsid w:val="003C61FE"/>
    <w:rsid w:val="003C7100"/>
    <w:rsid w:val="003D521D"/>
    <w:rsid w:val="003D589C"/>
    <w:rsid w:val="003E3172"/>
    <w:rsid w:val="003E51D3"/>
    <w:rsid w:val="003F22B3"/>
    <w:rsid w:val="003F2BAA"/>
    <w:rsid w:val="003F63FB"/>
    <w:rsid w:val="00401B97"/>
    <w:rsid w:val="00414A16"/>
    <w:rsid w:val="00421AD5"/>
    <w:rsid w:val="004433FF"/>
    <w:rsid w:val="004437CB"/>
    <w:rsid w:val="00452670"/>
    <w:rsid w:val="00461100"/>
    <w:rsid w:val="00465B85"/>
    <w:rsid w:val="00465ECB"/>
    <w:rsid w:val="004801B8"/>
    <w:rsid w:val="00483602"/>
    <w:rsid w:val="00487659"/>
    <w:rsid w:val="00487B5C"/>
    <w:rsid w:val="004904D1"/>
    <w:rsid w:val="00492D8C"/>
    <w:rsid w:val="00494FB4"/>
    <w:rsid w:val="0049763C"/>
    <w:rsid w:val="004A2AAA"/>
    <w:rsid w:val="004A6710"/>
    <w:rsid w:val="004B78AA"/>
    <w:rsid w:val="004C6664"/>
    <w:rsid w:val="004C71EC"/>
    <w:rsid w:val="004D361B"/>
    <w:rsid w:val="0051438D"/>
    <w:rsid w:val="0053015A"/>
    <w:rsid w:val="00532600"/>
    <w:rsid w:val="00537D54"/>
    <w:rsid w:val="005427E3"/>
    <w:rsid w:val="00542F46"/>
    <w:rsid w:val="005464CC"/>
    <w:rsid w:val="0054680B"/>
    <w:rsid w:val="00561868"/>
    <w:rsid w:val="00561A3F"/>
    <w:rsid w:val="005628EF"/>
    <w:rsid w:val="005637F9"/>
    <w:rsid w:val="00565229"/>
    <w:rsid w:val="00565FCE"/>
    <w:rsid w:val="00572FFA"/>
    <w:rsid w:val="00573154"/>
    <w:rsid w:val="0057380B"/>
    <w:rsid w:val="005911A6"/>
    <w:rsid w:val="00591A41"/>
    <w:rsid w:val="00594C5A"/>
    <w:rsid w:val="00597B7D"/>
    <w:rsid w:val="005B72C1"/>
    <w:rsid w:val="005D1533"/>
    <w:rsid w:val="005E2CC3"/>
    <w:rsid w:val="005E4A49"/>
    <w:rsid w:val="005F2227"/>
    <w:rsid w:val="005F4683"/>
    <w:rsid w:val="0061126F"/>
    <w:rsid w:val="006112F9"/>
    <w:rsid w:val="00612363"/>
    <w:rsid w:val="006168A5"/>
    <w:rsid w:val="00641EFB"/>
    <w:rsid w:val="006462D4"/>
    <w:rsid w:val="00646D3F"/>
    <w:rsid w:val="00667B1D"/>
    <w:rsid w:val="00673B98"/>
    <w:rsid w:val="006A3662"/>
    <w:rsid w:val="006A690E"/>
    <w:rsid w:val="006D6BB4"/>
    <w:rsid w:val="006E46D8"/>
    <w:rsid w:val="006F405A"/>
    <w:rsid w:val="006F59E6"/>
    <w:rsid w:val="00710C60"/>
    <w:rsid w:val="0071441A"/>
    <w:rsid w:val="0071733D"/>
    <w:rsid w:val="007259EC"/>
    <w:rsid w:val="0074158E"/>
    <w:rsid w:val="007427EE"/>
    <w:rsid w:val="00762491"/>
    <w:rsid w:val="007838F6"/>
    <w:rsid w:val="00786EED"/>
    <w:rsid w:val="00791CAE"/>
    <w:rsid w:val="0079485A"/>
    <w:rsid w:val="007A3E07"/>
    <w:rsid w:val="007A4960"/>
    <w:rsid w:val="007A6B9A"/>
    <w:rsid w:val="007B09B1"/>
    <w:rsid w:val="007C73D2"/>
    <w:rsid w:val="007D084D"/>
    <w:rsid w:val="007D6199"/>
    <w:rsid w:val="007E2D6B"/>
    <w:rsid w:val="007E4D01"/>
    <w:rsid w:val="007F16B5"/>
    <w:rsid w:val="00826686"/>
    <w:rsid w:val="00852634"/>
    <w:rsid w:val="00870C28"/>
    <w:rsid w:val="00876793"/>
    <w:rsid w:val="0089730E"/>
    <w:rsid w:val="008A7407"/>
    <w:rsid w:val="008B4107"/>
    <w:rsid w:val="008C3D97"/>
    <w:rsid w:val="008F13AF"/>
    <w:rsid w:val="008F338B"/>
    <w:rsid w:val="008F6278"/>
    <w:rsid w:val="0090047B"/>
    <w:rsid w:val="00903304"/>
    <w:rsid w:val="00910B14"/>
    <w:rsid w:val="009171C4"/>
    <w:rsid w:val="0093066B"/>
    <w:rsid w:val="00974C5F"/>
    <w:rsid w:val="00975C18"/>
    <w:rsid w:val="00986A56"/>
    <w:rsid w:val="00994314"/>
    <w:rsid w:val="009A28AB"/>
    <w:rsid w:val="009C15B7"/>
    <w:rsid w:val="009C3614"/>
    <w:rsid w:val="009D0FC0"/>
    <w:rsid w:val="009E6A2C"/>
    <w:rsid w:val="00A01637"/>
    <w:rsid w:val="00A20F19"/>
    <w:rsid w:val="00A27BE9"/>
    <w:rsid w:val="00A435BF"/>
    <w:rsid w:val="00A477EE"/>
    <w:rsid w:val="00A5390F"/>
    <w:rsid w:val="00A55CD8"/>
    <w:rsid w:val="00A56332"/>
    <w:rsid w:val="00A674AC"/>
    <w:rsid w:val="00A8496A"/>
    <w:rsid w:val="00A86516"/>
    <w:rsid w:val="00A86783"/>
    <w:rsid w:val="00A92347"/>
    <w:rsid w:val="00A92FD2"/>
    <w:rsid w:val="00AA18CC"/>
    <w:rsid w:val="00AA7456"/>
    <w:rsid w:val="00AA778D"/>
    <w:rsid w:val="00AB7101"/>
    <w:rsid w:val="00AC55BD"/>
    <w:rsid w:val="00AD47EE"/>
    <w:rsid w:val="00AE52BB"/>
    <w:rsid w:val="00AE72A3"/>
    <w:rsid w:val="00AF47F4"/>
    <w:rsid w:val="00B05C00"/>
    <w:rsid w:val="00B065AB"/>
    <w:rsid w:val="00B10FC1"/>
    <w:rsid w:val="00B27F8F"/>
    <w:rsid w:val="00B46125"/>
    <w:rsid w:val="00B672B0"/>
    <w:rsid w:val="00B766EC"/>
    <w:rsid w:val="00B8301C"/>
    <w:rsid w:val="00B917A9"/>
    <w:rsid w:val="00B96503"/>
    <w:rsid w:val="00B96DB0"/>
    <w:rsid w:val="00B97763"/>
    <w:rsid w:val="00BA5379"/>
    <w:rsid w:val="00BC7330"/>
    <w:rsid w:val="00BE29A0"/>
    <w:rsid w:val="00BF0F26"/>
    <w:rsid w:val="00BF19EC"/>
    <w:rsid w:val="00BF4BBE"/>
    <w:rsid w:val="00C03F9D"/>
    <w:rsid w:val="00C114A1"/>
    <w:rsid w:val="00C1170C"/>
    <w:rsid w:val="00C21CBD"/>
    <w:rsid w:val="00C3147A"/>
    <w:rsid w:val="00C324F0"/>
    <w:rsid w:val="00C73FF7"/>
    <w:rsid w:val="00C763A3"/>
    <w:rsid w:val="00C94F5F"/>
    <w:rsid w:val="00C95370"/>
    <w:rsid w:val="00CA19F2"/>
    <w:rsid w:val="00CA39F2"/>
    <w:rsid w:val="00CB1B87"/>
    <w:rsid w:val="00CB5A5E"/>
    <w:rsid w:val="00CB7120"/>
    <w:rsid w:val="00CC2757"/>
    <w:rsid w:val="00CE4523"/>
    <w:rsid w:val="00CE4B42"/>
    <w:rsid w:val="00CE5961"/>
    <w:rsid w:val="00CE59CD"/>
    <w:rsid w:val="00D01F48"/>
    <w:rsid w:val="00D03007"/>
    <w:rsid w:val="00D05A13"/>
    <w:rsid w:val="00D11012"/>
    <w:rsid w:val="00D27AD9"/>
    <w:rsid w:val="00D330C7"/>
    <w:rsid w:val="00D51CC4"/>
    <w:rsid w:val="00D529CF"/>
    <w:rsid w:val="00D60B1B"/>
    <w:rsid w:val="00D60BB6"/>
    <w:rsid w:val="00D75727"/>
    <w:rsid w:val="00D81F84"/>
    <w:rsid w:val="00D826C3"/>
    <w:rsid w:val="00D95DCD"/>
    <w:rsid w:val="00D97380"/>
    <w:rsid w:val="00DB5B16"/>
    <w:rsid w:val="00DB6274"/>
    <w:rsid w:val="00DC4AD5"/>
    <w:rsid w:val="00DC727C"/>
    <w:rsid w:val="00DE3948"/>
    <w:rsid w:val="00E04382"/>
    <w:rsid w:val="00E161E9"/>
    <w:rsid w:val="00E211CA"/>
    <w:rsid w:val="00E31F90"/>
    <w:rsid w:val="00E33172"/>
    <w:rsid w:val="00E35D0B"/>
    <w:rsid w:val="00E52C36"/>
    <w:rsid w:val="00E55EF3"/>
    <w:rsid w:val="00E6061A"/>
    <w:rsid w:val="00E62E07"/>
    <w:rsid w:val="00E7301A"/>
    <w:rsid w:val="00E76820"/>
    <w:rsid w:val="00E8667C"/>
    <w:rsid w:val="00E90C7F"/>
    <w:rsid w:val="00EA48A5"/>
    <w:rsid w:val="00EE4EE0"/>
    <w:rsid w:val="00EE745E"/>
    <w:rsid w:val="00EE76A3"/>
    <w:rsid w:val="00F01BD2"/>
    <w:rsid w:val="00F05A3F"/>
    <w:rsid w:val="00F076DD"/>
    <w:rsid w:val="00F121F1"/>
    <w:rsid w:val="00F17AF6"/>
    <w:rsid w:val="00F22C21"/>
    <w:rsid w:val="00F25A2A"/>
    <w:rsid w:val="00F31B45"/>
    <w:rsid w:val="00F458E4"/>
    <w:rsid w:val="00F52894"/>
    <w:rsid w:val="00F61A4C"/>
    <w:rsid w:val="00F7517F"/>
    <w:rsid w:val="00F76C48"/>
    <w:rsid w:val="00F771EA"/>
    <w:rsid w:val="00F8340B"/>
    <w:rsid w:val="00F9677D"/>
    <w:rsid w:val="00FA2485"/>
    <w:rsid w:val="00FB2D42"/>
    <w:rsid w:val="00FD446C"/>
    <w:rsid w:val="00FE0ECD"/>
    <w:rsid w:val="00FE40F7"/>
    <w:rsid w:val="00FE4767"/>
    <w:rsid w:val="00FE52B2"/>
    <w:rsid w:val="31BB49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rFonts w:ascii="Times New Roman" w:eastAsia="宋体" w:hAnsi="Times New Roman"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hAnsi="Times New Roman"/>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hAnsi="Times New Roman"/>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hAnsi="Times New Roman"/>
      <w:kern w:val="2"/>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hAnsi="Times New Roman"/>
      <w:b/>
      <w:bCs/>
      <w:kern w:val="2"/>
      <w:sz w:val="21"/>
      <w:szCs w:val="24"/>
    </w:rPr>
  </w:style>
  <w:style w:type="character" w:styleId="ad">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9989924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15CE2-631A-400A-9FF7-5687E95C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4</DocSecurity>
  <Lines>13</Lines>
  <Paragraphs>3</Paragraphs>
  <ScaleCrop>false</ScaleCrop>
  <Company>Microsoft</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李乾元</dc:creator>
  <cp:keywords/>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1A5E661FD3AB4146BD84F868FEEE9435</vt:lpwstr>
  </property>
</Properties>
</file>