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9434F">
      <w:pPr>
        <w:widowControl/>
        <w:kinsoku w:val="0"/>
        <w:autoSpaceDE w:val="0"/>
        <w:autoSpaceDN w:val="0"/>
        <w:adjustRightInd w:val="0"/>
        <w:snapToGrid w:val="0"/>
        <w:spacing w:before="63" w:line="221" w:lineRule="auto"/>
        <w:jc w:val="center"/>
        <w:textAlignment w:val="baseline"/>
        <w:outlineLvl w:val="0"/>
        <w:rPr>
          <w:rFonts w:ascii="楷体_GB2312" w:eastAsia="楷体_GB2312" w:hAnsi="楷体_GB2312" w:cs="楷体_GB2312" w:hint="eastAsia"/>
          <w:snapToGrid w:val="0"/>
          <w:color w:val="000000"/>
          <w:kern w:val="0"/>
          <w:szCs w:val="32"/>
        </w:rPr>
      </w:pPr>
      <w:r>
        <w:rPr>
          <w:rFonts w:ascii="楷体_GB2312" w:eastAsia="楷体_GB2312" w:hAnsi="楷体_GB2312" w:cs="楷体_GB2312" w:hint="eastAsia"/>
          <w:snapToGrid w:val="0"/>
          <w:color w:val="000000"/>
          <w:spacing w:val="6"/>
          <w:kern w:val="0"/>
          <w:szCs w:val="32"/>
        </w:rPr>
        <w:t>中航基金管理有限公司</w:t>
      </w:r>
    </w:p>
    <w:p w:rsidR="00000000" w:rsidRDefault="0039434F">
      <w:pPr>
        <w:widowControl/>
        <w:kinsoku w:val="0"/>
        <w:autoSpaceDE w:val="0"/>
        <w:autoSpaceDN w:val="0"/>
        <w:adjustRightInd w:val="0"/>
        <w:snapToGrid w:val="0"/>
        <w:spacing w:before="44" w:line="222" w:lineRule="auto"/>
        <w:jc w:val="center"/>
        <w:textAlignment w:val="baseline"/>
        <w:rPr>
          <w:rFonts w:ascii="楷体_GB2312" w:eastAsia="楷体_GB2312" w:hAnsi="楷体_GB2312" w:cs="楷体_GB2312" w:hint="eastAsia"/>
          <w:snapToGrid w:val="0"/>
          <w:color w:val="000000"/>
          <w:spacing w:val="9"/>
          <w:kern w:val="0"/>
          <w:szCs w:val="32"/>
        </w:rPr>
      </w:pPr>
      <w:r>
        <w:rPr>
          <w:rFonts w:ascii="楷体_GB2312" w:eastAsia="楷体_GB2312" w:hAnsi="楷体_GB2312" w:cs="楷体_GB2312" w:hint="eastAsia"/>
          <w:snapToGrid w:val="0"/>
          <w:color w:val="000000"/>
          <w:spacing w:val="10"/>
          <w:kern w:val="0"/>
          <w:szCs w:val="32"/>
        </w:rPr>
        <w:t>关于中航首钢生物质封闭式基础设施证券投资</w:t>
      </w:r>
      <w:r>
        <w:rPr>
          <w:rFonts w:ascii="楷体_GB2312" w:eastAsia="楷体_GB2312" w:hAnsi="楷体_GB2312" w:cs="楷体_GB2312" w:hint="eastAsia"/>
          <w:snapToGrid w:val="0"/>
          <w:color w:val="000000"/>
          <w:spacing w:val="9"/>
          <w:kern w:val="0"/>
          <w:szCs w:val="32"/>
        </w:rPr>
        <w:t>基金</w:t>
      </w:r>
    </w:p>
    <w:p w:rsidR="00000000" w:rsidRDefault="0039434F">
      <w:pPr>
        <w:widowControl/>
        <w:kinsoku w:val="0"/>
        <w:autoSpaceDE w:val="0"/>
        <w:autoSpaceDN w:val="0"/>
        <w:adjustRightInd w:val="0"/>
        <w:snapToGrid w:val="0"/>
        <w:spacing w:before="44" w:line="222" w:lineRule="auto"/>
        <w:jc w:val="center"/>
        <w:textAlignment w:val="baseline"/>
        <w:rPr>
          <w:rFonts w:ascii="楷体_GB2312" w:eastAsia="楷体_GB2312" w:hAnsi="楷体_GB2312" w:cs="楷体_GB2312" w:hint="eastAsia"/>
          <w:snapToGrid w:val="0"/>
          <w:color w:val="000000"/>
          <w:kern w:val="0"/>
          <w:szCs w:val="32"/>
        </w:rPr>
      </w:pPr>
      <w:r>
        <w:rPr>
          <w:rFonts w:ascii="楷体_GB2312" w:eastAsia="楷体_GB2312" w:hAnsi="楷体_GB2312" w:cs="楷体_GB2312" w:hint="eastAsia"/>
          <w:snapToGrid w:val="0"/>
          <w:color w:val="000000"/>
          <w:spacing w:val="9"/>
          <w:kern w:val="0"/>
          <w:szCs w:val="32"/>
        </w:rPr>
        <w:t>保理</w:t>
      </w:r>
      <w:r>
        <w:rPr>
          <w:rFonts w:ascii="楷体_GB2312" w:eastAsia="楷体_GB2312" w:hAnsi="楷体_GB2312" w:cs="楷体_GB2312" w:hint="eastAsia"/>
          <w:snapToGrid w:val="0"/>
          <w:color w:val="000000"/>
          <w:spacing w:val="9"/>
          <w:kern w:val="0"/>
          <w:szCs w:val="32"/>
        </w:rPr>
        <w:t>借款情况</w:t>
      </w:r>
      <w:r>
        <w:rPr>
          <w:rFonts w:ascii="楷体_GB2312" w:eastAsia="楷体_GB2312" w:hAnsi="楷体_GB2312" w:cs="楷体_GB2312" w:hint="eastAsia"/>
          <w:snapToGrid w:val="0"/>
          <w:color w:val="000000"/>
          <w:spacing w:val="6"/>
          <w:kern w:val="0"/>
          <w:szCs w:val="32"/>
        </w:rPr>
        <w:t>的临时公告</w:t>
      </w:r>
    </w:p>
    <w:p w:rsidR="00000000" w:rsidRDefault="0039434F">
      <w:pPr>
        <w:widowControl/>
        <w:kinsoku w:val="0"/>
        <w:topLinePunct/>
        <w:adjustRightInd w:val="0"/>
        <w:snapToGrid w:val="0"/>
        <w:spacing w:before="309" w:line="240" w:lineRule="auto"/>
        <w:ind w:firstLineChars="200" w:firstLine="478"/>
        <w:jc w:val="left"/>
        <w:textAlignment w:val="baseline"/>
        <w:rPr>
          <w:rFonts w:eastAsia="楷体_GB2312"/>
          <w:b/>
          <w:bCs/>
          <w:snapToGrid w:val="0"/>
          <w:color w:val="000000"/>
          <w:kern w:val="0"/>
          <w:sz w:val="24"/>
          <w:szCs w:val="24"/>
          <w:lang w:eastAsia="en-US"/>
        </w:rPr>
      </w:pPr>
      <w:r>
        <w:rPr>
          <w:rFonts w:eastAsia="楷体_GB2312"/>
          <w:b/>
          <w:bCs/>
          <w:snapToGrid w:val="0"/>
          <w:color w:val="000000"/>
          <w:spacing w:val="-1"/>
          <w:kern w:val="0"/>
          <w:sz w:val="24"/>
          <w:szCs w:val="24"/>
          <w:lang w:eastAsia="en-US"/>
        </w:rPr>
        <w:t>一、公募</w:t>
      </w:r>
      <w:r>
        <w:rPr>
          <w:rFonts w:eastAsia="楷体_GB2312"/>
          <w:b/>
          <w:bCs/>
          <w:snapToGrid w:val="0"/>
          <w:color w:val="000000"/>
          <w:spacing w:val="-1"/>
          <w:kern w:val="0"/>
          <w:sz w:val="24"/>
          <w:szCs w:val="24"/>
        </w:rPr>
        <w:t xml:space="preserve"> </w:t>
      </w:r>
      <w:r>
        <w:rPr>
          <w:rFonts w:eastAsia="楷体_GB2312"/>
          <w:b/>
          <w:bCs/>
          <w:snapToGrid w:val="0"/>
          <w:color w:val="000000"/>
          <w:spacing w:val="-1"/>
          <w:kern w:val="0"/>
          <w:sz w:val="24"/>
          <w:szCs w:val="24"/>
          <w:lang w:eastAsia="en-US"/>
        </w:rPr>
        <w:t xml:space="preserve">REITs </w:t>
      </w:r>
      <w:r>
        <w:rPr>
          <w:rFonts w:eastAsia="楷体_GB2312"/>
          <w:b/>
          <w:bCs/>
          <w:snapToGrid w:val="0"/>
          <w:color w:val="000000"/>
          <w:spacing w:val="-1"/>
          <w:kern w:val="0"/>
          <w:sz w:val="24"/>
          <w:szCs w:val="24"/>
          <w:lang w:eastAsia="en-US"/>
        </w:rPr>
        <w:t>基本信息</w:t>
      </w:r>
    </w:p>
    <w:tbl>
      <w:tblPr>
        <w:tblW w:w="8739"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716"/>
        <w:gridCol w:w="6023"/>
      </w:tblGrid>
      <w:tr w:rsidR="00000000">
        <w:trPr>
          <w:trHeight w:val="365"/>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57" w:line="220"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公募</w:t>
            </w:r>
            <w:r>
              <w:rPr>
                <w:rFonts w:eastAsia="楷体_GB2312"/>
                <w:snapToGrid w:val="0"/>
                <w:color w:val="000000"/>
                <w:spacing w:val="-1"/>
                <w:kern w:val="0"/>
                <w:sz w:val="24"/>
                <w:szCs w:val="24"/>
                <w:lang w:eastAsia="en-US"/>
              </w:rPr>
              <w:t xml:space="preserve"> REITs </w:t>
            </w:r>
            <w:r>
              <w:rPr>
                <w:rFonts w:eastAsia="楷体_GB2312"/>
                <w:snapToGrid w:val="0"/>
                <w:color w:val="000000"/>
                <w:spacing w:val="-1"/>
                <w:kern w:val="0"/>
                <w:sz w:val="24"/>
                <w:szCs w:val="24"/>
                <w:lang w:eastAsia="en-US"/>
              </w:rPr>
              <w:t>名称</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40" w:line="217" w:lineRule="auto"/>
              <w:jc w:val="left"/>
              <w:textAlignment w:val="baseline"/>
              <w:rPr>
                <w:rFonts w:eastAsia="楷体_GB2312"/>
                <w:snapToGrid w:val="0"/>
                <w:color w:val="000000"/>
                <w:kern w:val="0"/>
                <w:sz w:val="24"/>
                <w:szCs w:val="24"/>
              </w:rPr>
            </w:pPr>
            <w:r>
              <w:rPr>
                <w:rFonts w:eastAsia="楷体_GB2312"/>
                <w:snapToGrid w:val="0"/>
                <w:color w:val="000000"/>
                <w:spacing w:val="-2"/>
                <w:kern w:val="0"/>
                <w:sz w:val="24"/>
                <w:szCs w:val="24"/>
              </w:rPr>
              <w:t>中航首钢生物质封闭式基础设施证券投资基金</w:t>
            </w:r>
          </w:p>
        </w:tc>
      </w:tr>
      <w:tr w:rsidR="00000000">
        <w:trPr>
          <w:trHeight w:val="321"/>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2" w:line="210"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3"/>
                <w:kern w:val="0"/>
                <w:sz w:val="24"/>
                <w:szCs w:val="24"/>
                <w:lang w:eastAsia="en-US"/>
              </w:rPr>
              <w:t>公募</w:t>
            </w:r>
            <w:r>
              <w:rPr>
                <w:rFonts w:eastAsia="楷体_GB2312"/>
                <w:snapToGrid w:val="0"/>
                <w:color w:val="000000"/>
                <w:spacing w:val="-3"/>
                <w:kern w:val="0"/>
                <w:sz w:val="24"/>
                <w:szCs w:val="24"/>
                <w:lang w:eastAsia="en-US"/>
              </w:rPr>
              <w:t xml:space="preserve"> REITs</w:t>
            </w:r>
            <w:r>
              <w:rPr>
                <w:rFonts w:eastAsia="楷体_GB2312"/>
                <w:snapToGrid w:val="0"/>
                <w:color w:val="000000"/>
                <w:spacing w:val="27"/>
                <w:w w:val="101"/>
                <w:kern w:val="0"/>
                <w:sz w:val="24"/>
                <w:szCs w:val="24"/>
                <w:lang w:eastAsia="en-US"/>
              </w:rPr>
              <w:t xml:space="preserve"> </w:t>
            </w:r>
            <w:r>
              <w:rPr>
                <w:rFonts w:eastAsia="楷体_GB2312"/>
                <w:snapToGrid w:val="0"/>
                <w:color w:val="000000"/>
                <w:spacing w:val="-3"/>
                <w:kern w:val="0"/>
                <w:sz w:val="24"/>
                <w:szCs w:val="24"/>
                <w:lang w:eastAsia="en-US"/>
              </w:rPr>
              <w:t>简称</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2" w:line="210"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4"/>
                <w:kern w:val="0"/>
                <w:sz w:val="24"/>
                <w:szCs w:val="24"/>
                <w:lang w:eastAsia="en-US"/>
              </w:rPr>
              <w:t>中航首钢绿能</w:t>
            </w:r>
            <w:r>
              <w:rPr>
                <w:rFonts w:eastAsia="楷体_GB2312"/>
                <w:snapToGrid w:val="0"/>
                <w:color w:val="000000"/>
                <w:spacing w:val="-53"/>
                <w:kern w:val="0"/>
                <w:sz w:val="24"/>
                <w:szCs w:val="24"/>
                <w:lang w:eastAsia="en-US"/>
              </w:rPr>
              <w:t xml:space="preserve"> </w:t>
            </w:r>
            <w:r>
              <w:rPr>
                <w:rFonts w:eastAsia="楷体_GB2312"/>
                <w:snapToGrid w:val="0"/>
                <w:color w:val="000000"/>
                <w:spacing w:val="-4"/>
                <w:kern w:val="0"/>
                <w:sz w:val="24"/>
                <w:szCs w:val="24"/>
                <w:lang w:eastAsia="en-US"/>
              </w:rPr>
              <w:t>REIT</w:t>
            </w:r>
          </w:p>
        </w:tc>
      </w:tr>
      <w:tr w:rsidR="00000000">
        <w:trPr>
          <w:trHeight w:val="400"/>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75" w:line="220"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公募</w:t>
            </w:r>
            <w:r>
              <w:rPr>
                <w:rFonts w:eastAsia="楷体_GB2312"/>
                <w:snapToGrid w:val="0"/>
                <w:color w:val="000000"/>
                <w:spacing w:val="-1"/>
                <w:kern w:val="0"/>
                <w:sz w:val="24"/>
                <w:szCs w:val="24"/>
                <w:lang w:eastAsia="en-US"/>
              </w:rPr>
              <w:t xml:space="preserve"> REITs </w:t>
            </w:r>
            <w:r>
              <w:rPr>
                <w:rFonts w:eastAsia="楷体_GB2312"/>
                <w:snapToGrid w:val="0"/>
                <w:color w:val="000000"/>
                <w:spacing w:val="-1"/>
                <w:kern w:val="0"/>
                <w:sz w:val="24"/>
                <w:szCs w:val="24"/>
                <w:lang w:eastAsia="en-US"/>
              </w:rPr>
              <w:t>代码</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54" w:line="186"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4"/>
                <w:kern w:val="0"/>
                <w:sz w:val="24"/>
                <w:szCs w:val="24"/>
                <w:lang w:eastAsia="en-US"/>
              </w:rPr>
              <w:t>180801</w:t>
            </w:r>
          </w:p>
        </w:tc>
      </w:tr>
      <w:tr w:rsidR="00000000">
        <w:trPr>
          <w:trHeight w:val="400"/>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75" w:line="215"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公募</w:t>
            </w:r>
            <w:r>
              <w:rPr>
                <w:rFonts w:eastAsia="楷体_GB2312"/>
                <w:snapToGrid w:val="0"/>
                <w:color w:val="000000"/>
                <w:spacing w:val="-1"/>
                <w:kern w:val="0"/>
                <w:sz w:val="24"/>
                <w:szCs w:val="24"/>
                <w:lang w:eastAsia="en-US"/>
              </w:rPr>
              <w:t xml:space="preserve"> REITs </w:t>
            </w:r>
            <w:r>
              <w:rPr>
                <w:rFonts w:eastAsia="楷体_GB2312"/>
                <w:snapToGrid w:val="0"/>
                <w:color w:val="000000"/>
                <w:spacing w:val="-1"/>
                <w:kern w:val="0"/>
                <w:sz w:val="24"/>
                <w:szCs w:val="24"/>
                <w:lang w:eastAsia="en-US"/>
              </w:rPr>
              <w:t>合同生效日</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54" w:line="186"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2021-06-07</w:t>
            </w:r>
          </w:p>
        </w:tc>
      </w:tr>
      <w:tr w:rsidR="00000000">
        <w:trPr>
          <w:trHeight w:val="321"/>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5" w:line="208"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基金管理人名称</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5" w:line="208"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4"/>
                <w:kern w:val="0"/>
                <w:sz w:val="24"/>
                <w:szCs w:val="24"/>
                <w:lang w:eastAsia="en-US"/>
              </w:rPr>
              <w:t>中航基金管理有限公司</w:t>
            </w:r>
          </w:p>
        </w:tc>
      </w:tr>
      <w:tr w:rsidR="00000000">
        <w:trPr>
          <w:trHeight w:val="427"/>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89" w:line="215" w:lineRule="auto"/>
              <w:jc w:val="left"/>
              <w:textAlignment w:val="baseline"/>
              <w:rPr>
                <w:rFonts w:eastAsia="楷体_GB2312"/>
                <w:snapToGrid w:val="0"/>
                <w:color w:val="000000"/>
                <w:kern w:val="0"/>
                <w:sz w:val="24"/>
                <w:szCs w:val="24"/>
                <w:lang w:eastAsia="en-US"/>
              </w:rPr>
            </w:pPr>
            <w:r>
              <w:rPr>
                <w:rFonts w:eastAsia="楷体_GB2312"/>
                <w:snapToGrid w:val="0"/>
                <w:color w:val="000000"/>
                <w:spacing w:val="-1"/>
                <w:kern w:val="0"/>
                <w:sz w:val="24"/>
                <w:szCs w:val="24"/>
                <w:lang w:eastAsia="en-US"/>
              </w:rPr>
              <w:t>基金托管人名称</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6" w:line="217" w:lineRule="auto"/>
              <w:jc w:val="left"/>
              <w:textAlignment w:val="baseline"/>
              <w:rPr>
                <w:rFonts w:eastAsia="楷体_GB2312"/>
                <w:snapToGrid w:val="0"/>
                <w:color w:val="000000"/>
                <w:kern w:val="0"/>
                <w:sz w:val="24"/>
                <w:szCs w:val="24"/>
              </w:rPr>
            </w:pPr>
            <w:r>
              <w:rPr>
                <w:rFonts w:eastAsia="楷体_GB2312"/>
                <w:snapToGrid w:val="0"/>
                <w:color w:val="000000"/>
                <w:spacing w:val="-2"/>
                <w:kern w:val="0"/>
                <w:sz w:val="24"/>
                <w:szCs w:val="24"/>
              </w:rPr>
              <w:t>招商银行股份有限公司</w:t>
            </w:r>
          </w:p>
        </w:tc>
      </w:tr>
      <w:tr w:rsidR="00000000">
        <w:trPr>
          <w:trHeight w:val="2486"/>
          <w:jc w:val="center"/>
        </w:trPr>
        <w:tc>
          <w:tcPr>
            <w:tcW w:w="2716"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78" w:line="222" w:lineRule="auto"/>
              <w:jc w:val="left"/>
              <w:textAlignment w:val="baseline"/>
              <w:rPr>
                <w:rFonts w:eastAsia="楷体_GB2312"/>
                <w:snapToGrid w:val="0"/>
                <w:color w:val="000000"/>
                <w:kern w:val="0"/>
                <w:sz w:val="24"/>
                <w:szCs w:val="24"/>
                <w:lang w:eastAsia="en-US"/>
              </w:rPr>
            </w:pPr>
            <w:r>
              <w:rPr>
                <w:rFonts w:eastAsia="楷体_GB2312"/>
                <w:snapToGrid w:val="0"/>
                <w:color w:val="000000"/>
                <w:kern w:val="0"/>
                <w:sz w:val="24"/>
                <w:szCs w:val="24"/>
                <w:lang w:eastAsia="en-US"/>
              </w:rPr>
              <w:t>公告依据</w:t>
            </w:r>
          </w:p>
        </w:tc>
        <w:tc>
          <w:tcPr>
            <w:tcW w:w="6023" w:type="dxa"/>
            <w:tcBorders>
              <w:top w:val="single" w:sz="2" w:space="0" w:color="auto"/>
              <w:left w:val="single" w:sz="2" w:space="0" w:color="auto"/>
              <w:bottom w:val="single" w:sz="2" w:space="0" w:color="auto"/>
              <w:right w:val="single" w:sz="2" w:space="0" w:color="auto"/>
            </w:tcBorders>
            <w:vAlign w:val="center"/>
          </w:tcPr>
          <w:p w:rsidR="00000000" w:rsidRDefault="0039434F">
            <w:pPr>
              <w:widowControl/>
              <w:kinsoku w:val="0"/>
              <w:topLinePunct/>
              <w:adjustRightInd w:val="0"/>
              <w:snapToGrid w:val="0"/>
              <w:spacing w:before="34" w:line="235" w:lineRule="auto"/>
              <w:ind w:right="110"/>
              <w:textAlignment w:val="baseline"/>
              <w:rPr>
                <w:rFonts w:eastAsia="楷体_GB2312"/>
                <w:snapToGrid w:val="0"/>
                <w:color w:val="000000"/>
                <w:kern w:val="0"/>
                <w:sz w:val="24"/>
                <w:szCs w:val="24"/>
              </w:rPr>
            </w:pPr>
            <w:r>
              <w:rPr>
                <w:rFonts w:eastAsia="楷体_GB2312"/>
                <w:snapToGrid w:val="0"/>
                <w:color w:val="000000"/>
                <w:spacing w:val="-2"/>
                <w:kern w:val="0"/>
                <w:sz w:val="24"/>
                <w:szCs w:val="24"/>
              </w:rPr>
              <w:t>《中华人民共和国证券投资基金法》及其配套法规、《公开募集基础设施证券投资基金指引（试行</w:t>
            </w:r>
            <w:r>
              <w:rPr>
                <w:rFonts w:eastAsia="楷体_GB2312"/>
                <w:snapToGrid w:val="0"/>
                <w:color w:val="000000"/>
                <w:spacing w:val="-2"/>
                <w:kern w:val="0"/>
                <w:sz w:val="24"/>
                <w:szCs w:val="24"/>
              </w:rPr>
              <w:t>）》《深圳证券交易所公开募集基础设施证券投资基金业务办法（试行）》《深圳证券交易所公开募集基础设施证券投资基金业务指引第</w:t>
            </w:r>
            <w:r>
              <w:rPr>
                <w:rFonts w:eastAsia="楷体_GB2312"/>
                <w:snapToGrid w:val="0"/>
                <w:color w:val="000000"/>
                <w:spacing w:val="-2"/>
                <w:kern w:val="0"/>
                <w:sz w:val="24"/>
                <w:szCs w:val="24"/>
              </w:rPr>
              <w:t xml:space="preserve"> 5 </w:t>
            </w:r>
            <w:r>
              <w:rPr>
                <w:rFonts w:eastAsia="楷体_GB2312"/>
                <w:snapToGrid w:val="0"/>
                <w:color w:val="000000"/>
                <w:spacing w:val="-2"/>
                <w:kern w:val="0"/>
                <w:sz w:val="24"/>
                <w:szCs w:val="24"/>
              </w:rPr>
              <w:t>号</w:t>
            </w:r>
            <w:r>
              <w:rPr>
                <w:rFonts w:eastAsia="楷体_GB2312"/>
                <w:snapToGrid w:val="0"/>
                <w:color w:val="000000"/>
                <w:spacing w:val="-2"/>
                <w:kern w:val="0"/>
                <w:sz w:val="24"/>
                <w:szCs w:val="24"/>
              </w:rPr>
              <w:t>——</w:t>
            </w:r>
            <w:r>
              <w:rPr>
                <w:rFonts w:eastAsia="楷体_GB2312"/>
                <w:snapToGrid w:val="0"/>
                <w:color w:val="000000"/>
                <w:spacing w:val="-2"/>
                <w:kern w:val="0"/>
                <w:sz w:val="24"/>
                <w:szCs w:val="24"/>
              </w:rPr>
              <w:t>临时报告（试行）》等有关规定以及《中航首钢生物质封闭式基础设施证券投资基金基金合同》《中航首钢生物质封闭式基础设施证券投资基金招募说明书》及其更新</w:t>
            </w:r>
          </w:p>
        </w:tc>
      </w:tr>
    </w:tbl>
    <w:p w:rsidR="00000000" w:rsidRDefault="0039434F">
      <w:pPr>
        <w:pStyle w:val="a4"/>
        <w:widowControl/>
        <w:topLinePunct/>
        <w:adjustRightInd w:val="0"/>
        <w:snapToGrid w:val="0"/>
        <w:spacing w:before="190"/>
        <w:ind w:left="0" w:firstLineChars="200" w:firstLine="482"/>
        <w:textAlignment w:val="baseline"/>
        <w:rPr>
          <w:rFonts w:ascii="Times New Roman" w:eastAsia="楷体_GB2312" w:hAnsi="Times New Roman"/>
          <w:b/>
          <w:bCs/>
          <w:snapToGrid w:val="0"/>
          <w:color w:val="000000"/>
          <w:sz w:val="24"/>
          <w:szCs w:val="24"/>
          <w:lang w:eastAsia="zh-CN"/>
        </w:rPr>
      </w:pPr>
      <w:r>
        <w:rPr>
          <w:rFonts w:ascii="Times New Roman" w:eastAsia="楷体_GB2312" w:hAnsi="Times New Roman"/>
          <w:b/>
          <w:bCs/>
          <w:snapToGrid w:val="0"/>
          <w:color w:val="000000"/>
          <w:sz w:val="24"/>
          <w:szCs w:val="24"/>
          <w:lang w:eastAsia="zh-CN"/>
        </w:rPr>
        <w:t>二、涉及的基础设施项目公司基本情况</w:t>
      </w:r>
    </w:p>
    <w:p w:rsidR="00000000" w:rsidRDefault="0039434F">
      <w:pPr>
        <w:pStyle w:val="a4"/>
        <w:widowControl/>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2"/>
          <w:sz w:val="24"/>
          <w:szCs w:val="24"/>
          <w:lang w:eastAsia="zh-CN"/>
        </w:rPr>
        <w:t>中航首钢生物质封闭式基础设施证券投资基金</w:t>
      </w:r>
      <w:r>
        <w:rPr>
          <w:rFonts w:ascii="Times New Roman" w:eastAsia="楷体_GB2312" w:hAnsi="Times New Roman"/>
          <w:snapToGrid w:val="0"/>
          <w:color w:val="000000"/>
          <w:spacing w:val="-6"/>
          <w:sz w:val="24"/>
          <w:szCs w:val="24"/>
          <w:lang w:eastAsia="zh-CN"/>
        </w:rPr>
        <w:t>（以下简称</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本基金</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）的基础设施项目公司为北京首钢生物质能源科技有限公司（以下简称</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项目公司</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），包括北京首钢生物质能源项目、北京首钢餐厨垃圾收运处一体化</w:t>
      </w:r>
      <w:r>
        <w:rPr>
          <w:rFonts w:ascii="Times New Roman" w:eastAsia="楷体_GB2312" w:hAnsi="Times New Roman"/>
          <w:snapToGrid w:val="0"/>
          <w:color w:val="000000"/>
          <w:spacing w:val="-6"/>
          <w:sz w:val="24"/>
          <w:szCs w:val="24"/>
          <w:lang w:eastAsia="zh-CN"/>
        </w:rPr>
        <w:t>项目（一期）以及北京首钢鲁家山残渣暂存场项目（为生物质能源项目的配套设施）</w:t>
      </w:r>
      <w:r>
        <w:rPr>
          <w:rFonts w:ascii="Times New Roman" w:eastAsia="楷体_GB2312" w:hAnsi="Times New Roman"/>
          <w:snapToGrid w:val="0"/>
          <w:color w:val="000000"/>
          <w:spacing w:val="-6"/>
          <w:sz w:val="24"/>
          <w:szCs w:val="24"/>
          <w:lang w:eastAsia="zh-CN"/>
        </w:rPr>
        <w:t>3</w:t>
      </w:r>
      <w:r>
        <w:rPr>
          <w:rFonts w:ascii="Times New Roman" w:eastAsia="楷体_GB2312" w:hAnsi="Times New Roman"/>
          <w:snapToGrid w:val="0"/>
          <w:color w:val="000000"/>
          <w:spacing w:val="-6"/>
          <w:sz w:val="24"/>
          <w:szCs w:val="24"/>
          <w:lang w:eastAsia="zh-CN"/>
        </w:rPr>
        <w:t>个子项目。项目公司主要产品服务包括生活垃圾处置服务、厨余垃圾收运处置服务、电力销售等，通过向北京市有关城区提供生活垃圾焚烧处理服务及厨余垃圾收运处置服务，收取生活垃圾处置服务费及厨余垃圾收运处置费；通过向国网北京市电力公司提供电力，取得售电收入。其中，售电收入包括标杆电费、省补电费以及国补电费。</w:t>
      </w:r>
    </w:p>
    <w:p w:rsidR="00000000" w:rsidRDefault="0039434F">
      <w:pPr>
        <w:pStyle w:val="a4"/>
        <w:topLinePunct/>
        <w:adjustRightInd w:val="0"/>
        <w:snapToGrid w:val="0"/>
        <w:spacing w:before="33" w:line="235" w:lineRule="auto"/>
        <w:ind w:left="23" w:firstLine="456"/>
        <w:textAlignment w:val="baseline"/>
        <w:rPr>
          <w:rFonts w:ascii="Times New Roman" w:eastAsia="楷体_GB2312" w:hAnsi="Times New Roman"/>
          <w:b/>
          <w:bCs/>
          <w:snapToGrid w:val="0"/>
          <w:color w:val="000000"/>
          <w:spacing w:val="-6"/>
          <w:sz w:val="24"/>
          <w:szCs w:val="24"/>
          <w:lang w:eastAsia="zh-CN"/>
        </w:rPr>
      </w:pPr>
      <w:r>
        <w:rPr>
          <w:rFonts w:ascii="Times New Roman" w:eastAsia="楷体_GB2312" w:hAnsi="Times New Roman"/>
          <w:b/>
          <w:bCs/>
          <w:snapToGrid w:val="0"/>
          <w:color w:val="000000"/>
          <w:spacing w:val="-6"/>
          <w:sz w:val="24"/>
          <w:szCs w:val="24"/>
          <w:lang w:eastAsia="zh-CN"/>
        </w:rPr>
        <w:t>三、</w:t>
      </w:r>
      <w:r>
        <w:rPr>
          <w:rFonts w:ascii="Times New Roman" w:eastAsia="楷体_GB2312" w:hAnsi="Times New Roman"/>
          <w:b/>
          <w:bCs/>
          <w:snapToGrid w:val="0"/>
          <w:color w:val="000000"/>
          <w:spacing w:val="-6"/>
          <w:sz w:val="24"/>
          <w:szCs w:val="24"/>
          <w:lang w:eastAsia="zh-CN"/>
        </w:rPr>
        <w:t>基础设施项目对外借款情况</w:t>
      </w:r>
    </w:p>
    <w:p w:rsidR="00000000" w:rsidRDefault="0039434F">
      <w:pPr>
        <w:pStyle w:val="a4"/>
        <w:widowControl/>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2"/>
          <w:sz w:val="24"/>
          <w:szCs w:val="24"/>
          <w:lang w:eastAsia="zh-CN"/>
        </w:rPr>
      </w:pPr>
      <w:r>
        <w:rPr>
          <w:rFonts w:ascii="Times New Roman" w:eastAsia="楷体_GB2312" w:hAnsi="Times New Roman"/>
          <w:snapToGrid w:val="0"/>
          <w:color w:val="000000"/>
          <w:spacing w:val="-2"/>
          <w:sz w:val="24"/>
          <w:szCs w:val="24"/>
          <w:lang w:eastAsia="zh-CN"/>
        </w:rPr>
        <w:t>根据本基金</w:t>
      </w:r>
      <w:r>
        <w:rPr>
          <w:rFonts w:ascii="Times New Roman" w:eastAsia="楷体_GB2312" w:hAnsi="Times New Roman"/>
          <w:snapToGrid w:val="0"/>
          <w:color w:val="000000"/>
          <w:spacing w:val="-2"/>
          <w:sz w:val="24"/>
          <w:szCs w:val="24"/>
          <w:lang w:eastAsia="zh-CN"/>
        </w:rPr>
        <w:t>202</w:t>
      </w:r>
      <w:r>
        <w:rPr>
          <w:rFonts w:ascii="Times New Roman" w:eastAsia="楷体_GB2312" w:hAnsi="Times New Roman" w:hint="eastAsia"/>
          <w:snapToGrid w:val="0"/>
          <w:color w:val="000000"/>
          <w:spacing w:val="-2"/>
          <w:sz w:val="24"/>
          <w:szCs w:val="24"/>
          <w:lang w:eastAsia="zh-CN"/>
        </w:rPr>
        <w:t>5</w:t>
      </w:r>
      <w:r>
        <w:rPr>
          <w:rFonts w:ascii="Times New Roman" w:eastAsia="楷体_GB2312" w:hAnsi="Times New Roman"/>
          <w:snapToGrid w:val="0"/>
          <w:color w:val="000000"/>
          <w:spacing w:val="-2"/>
          <w:sz w:val="24"/>
          <w:szCs w:val="24"/>
          <w:lang w:eastAsia="zh-CN"/>
        </w:rPr>
        <w:t>年</w:t>
      </w:r>
      <w:r>
        <w:rPr>
          <w:rFonts w:ascii="Times New Roman" w:eastAsia="楷体_GB2312" w:hAnsi="Times New Roman"/>
          <w:snapToGrid w:val="0"/>
          <w:color w:val="000000"/>
          <w:spacing w:val="-2"/>
          <w:sz w:val="24"/>
          <w:szCs w:val="24"/>
          <w:lang w:eastAsia="zh-CN"/>
        </w:rPr>
        <w:t>1</w:t>
      </w:r>
      <w:r>
        <w:rPr>
          <w:rFonts w:ascii="Times New Roman" w:eastAsia="楷体_GB2312" w:hAnsi="Times New Roman" w:hint="eastAsia"/>
          <w:snapToGrid w:val="0"/>
          <w:color w:val="000000"/>
          <w:spacing w:val="-2"/>
          <w:sz w:val="24"/>
          <w:szCs w:val="24"/>
          <w:lang w:eastAsia="zh-CN"/>
        </w:rPr>
        <w:t>2</w:t>
      </w:r>
      <w:r>
        <w:rPr>
          <w:rFonts w:ascii="Times New Roman" w:eastAsia="楷体_GB2312" w:hAnsi="Times New Roman"/>
          <w:snapToGrid w:val="0"/>
          <w:color w:val="000000"/>
          <w:spacing w:val="-2"/>
          <w:sz w:val="24"/>
          <w:szCs w:val="24"/>
          <w:lang w:eastAsia="zh-CN"/>
        </w:rPr>
        <w:t>月</w:t>
      </w:r>
      <w:r>
        <w:rPr>
          <w:rFonts w:ascii="Times New Roman" w:eastAsia="楷体_GB2312" w:hAnsi="Times New Roman" w:hint="eastAsia"/>
          <w:snapToGrid w:val="0"/>
          <w:color w:val="000000"/>
          <w:spacing w:val="-2"/>
          <w:sz w:val="24"/>
          <w:szCs w:val="24"/>
          <w:lang w:eastAsia="zh-CN"/>
        </w:rPr>
        <w:t>5</w:t>
      </w:r>
      <w:r>
        <w:rPr>
          <w:rFonts w:ascii="Times New Roman" w:eastAsia="楷体_GB2312" w:hAnsi="Times New Roman"/>
          <w:snapToGrid w:val="0"/>
          <w:color w:val="000000"/>
          <w:spacing w:val="-2"/>
          <w:sz w:val="24"/>
          <w:szCs w:val="24"/>
          <w:lang w:eastAsia="zh-CN"/>
        </w:rPr>
        <w:t>日发布的《中航基金管理有限公司关于中航首钢生物质封闭式基础设施证券投资基金保理融</w:t>
      </w:r>
      <w:r>
        <w:rPr>
          <w:rFonts w:ascii="Times New Roman" w:eastAsia="楷体_GB2312" w:hAnsi="Times New Roman"/>
          <w:snapToGrid w:val="0"/>
          <w:color w:val="000000"/>
          <w:spacing w:val="-2"/>
          <w:sz w:val="24"/>
          <w:szCs w:val="24"/>
          <w:lang w:eastAsia="zh-CN"/>
        </w:rPr>
        <w:t>资安排的临时公告》（以下简称</w:t>
      </w:r>
      <w:r>
        <w:rPr>
          <w:rFonts w:ascii="Times New Roman" w:eastAsia="楷体_GB2312" w:hAnsi="Times New Roman" w:hint="eastAsia"/>
          <w:snapToGrid w:val="0"/>
          <w:color w:val="000000"/>
          <w:spacing w:val="-2"/>
          <w:sz w:val="24"/>
          <w:szCs w:val="24"/>
          <w:lang w:eastAsia="zh-CN"/>
        </w:rPr>
        <w:t>“</w:t>
      </w:r>
      <w:r>
        <w:rPr>
          <w:rFonts w:ascii="Times New Roman" w:eastAsia="楷体_GB2312" w:hAnsi="Times New Roman"/>
          <w:snapToGrid w:val="0"/>
          <w:color w:val="000000"/>
          <w:spacing w:val="-2"/>
          <w:sz w:val="24"/>
          <w:szCs w:val="24"/>
          <w:lang w:eastAsia="zh-CN"/>
        </w:rPr>
        <w:t>《保理融资安排临时公告》</w:t>
      </w:r>
      <w:r>
        <w:rPr>
          <w:rFonts w:ascii="Times New Roman" w:eastAsia="楷体_GB2312" w:hAnsi="Times New Roman" w:hint="eastAsia"/>
          <w:snapToGrid w:val="0"/>
          <w:color w:val="000000"/>
          <w:spacing w:val="-2"/>
          <w:sz w:val="24"/>
          <w:szCs w:val="24"/>
          <w:lang w:eastAsia="zh-CN"/>
        </w:rPr>
        <w:t>”</w:t>
      </w:r>
      <w:r>
        <w:rPr>
          <w:rFonts w:ascii="Times New Roman" w:eastAsia="楷体_GB2312" w:hAnsi="Times New Roman"/>
          <w:snapToGrid w:val="0"/>
          <w:color w:val="000000"/>
          <w:spacing w:val="-2"/>
          <w:sz w:val="24"/>
          <w:szCs w:val="24"/>
          <w:lang w:eastAsia="zh-CN"/>
        </w:rPr>
        <w:t>），</w:t>
      </w:r>
      <w:r>
        <w:rPr>
          <w:rFonts w:ascii="Times New Roman" w:eastAsia="楷体_GB2312" w:hAnsi="Times New Roman" w:hint="eastAsia"/>
          <w:snapToGrid w:val="0"/>
          <w:color w:val="000000"/>
          <w:spacing w:val="-2"/>
          <w:sz w:val="24"/>
          <w:szCs w:val="24"/>
          <w:lang w:eastAsia="zh-CN"/>
        </w:rPr>
        <w:t>项目公司</w:t>
      </w:r>
      <w:r>
        <w:rPr>
          <w:rFonts w:ascii="Times New Roman" w:eastAsia="楷体_GB2312" w:hAnsi="Times New Roman"/>
          <w:snapToGrid w:val="0"/>
          <w:color w:val="000000"/>
          <w:spacing w:val="-2"/>
          <w:sz w:val="24"/>
          <w:szCs w:val="24"/>
          <w:lang w:eastAsia="zh-CN"/>
        </w:rPr>
        <w:t>与招商银行股份有限公司北京分行（以下简称</w:t>
      </w:r>
      <w:r>
        <w:rPr>
          <w:rFonts w:ascii="Times New Roman" w:eastAsia="楷体_GB2312" w:hAnsi="Times New Roman" w:hint="eastAsia"/>
          <w:snapToGrid w:val="0"/>
          <w:color w:val="000000"/>
          <w:spacing w:val="-2"/>
          <w:sz w:val="24"/>
          <w:szCs w:val="24"/>
          <w:lang w:eastAsia="zh-CN"/>
        </w:rPr>
        <w:t>“</w:t>
      </w:r>
      <w:r>
        <w:rPr>
          <w:rFonts w:ascii="Times New Roman" w:eastAsia="楷体_GB2312" w:hAnsi="Times New Roman"/>
          <w:snapToGrid w:val="0"/>
          <w:color w:val="000000"/>
          <w:spacing w:val="-2"/>
          <w:sz w:val="24"/>
          <w:szCs w:val="24"/>
          <w:lang w:eastAsia="zh-CN"/>
        </w:rPr>
        <w:t>招商银行</w:t>
      </w:r>
      <w:r>
        <w:rPr>
          <w:rFonts w:ascii="Times New Roman" w:eastAsia="楷体_GB2312" w:hAnsi="Times New Roman" w:hint="eastAsia"/>
          <w:snapToGrid w:val="0"/>
          <w:color w:val="000000"/>
          <w:spacing w:val="-2"/>
          <w:sz w:val="24"/>
          <w:szCs w:val="24"/>
          <w:lang w:eastAsia="zh-CN"/>
        </w:rPr>
        <w:t>”</w:t>
      </w:r>
      <w:r>
        <w:rPr>
          <w:rFonts w:ascii="Times New Roman" w:eastAsia="楷体_GB2312" w:hAnsi="Times New Roman"/>
          <w:snapToGrid w:val="0"/>
          <w:color w:val="000000"/>
          <w:spacing w:val="-2"/>
          <w:sz w:val="24"/>
          <w:szCs w:val="24"/>
          <w:lang w:eastAsia="zh-CN"/>
        </w:rPr>
        <w:t>）签订《国内保理业务协议》及《授信协议》，拟</w:t>
      </w:r>
      <w:r>
        <w:rPr>
          <w:rFonts w:ascii="Times New Roman" w:eastAsia="楷体_GB2312" w:hAnsi="Times New Roman"/>
          <w:snapToGrid w:val="0"/>
          <w:color w:val="000000"/>
          <w:spacing w:val="-2"/>
          <w:sz w:val="24"/>
          <w:szCs w:val="24"/>
          <w:lang w:eastAsia="zh-CN"/>
        </w:rPr>
        <w:t>将未到账的国补应收账款进行适当的保理融资安排，授信额度（一次性额度）为</w:t>
      </w:r>
      <w:r>
        <w:rPr>
          <w:rFonts w:ascii="Times New Roman" w:eastAsia="楷体_GB2312" w:hAnsi="Times New Roman"/>
          <w:snapToGrid w:val="0"/>
          <w:color w:val="000000"/>
          <w:spacing w:val="-2"/>
          <w:sz w:val="24"/>
          <w:szCs w:val="24"/>
          <w:lang w:eastAsia="zh-CN"/>
        </w:rPr>
        <w:t>3,000</w:t>
      </w:r>
      <w:r>
        <w:rPr>
          <w:rFonts w:ascii="Times New Roman" w:eastAsia="楷体_GB2312" w:hAnsi="Times New Roman"/>
          <w:snapToGrid w:val="0"/>
          <w:color w:val="000000"/>
          <w:spacing w:val="-2"/>
          <w:sz w:val="24"/>
          <w:szCs w:val="24"/>
          <w:lang w:eastAsia="zh-CN"/>
        </w:rPr>
        <w:t>万元，授信期限</w:t>
      </w:r>
      <w:r>
        <w:rPr>
          <w:rFonts w:ascii="Times New Roman" w:eastAsia="楷体_GB2312" w:hAnsi="Times New Roman" w:hint="eastAsia"/>
          <w:snapToGrid w:val="0"/>
          <w:color w:val="000000"/>
          <w:spacing w:val="-2"/>
          <w:sz w:val="24"/>
          <w:szCs w:val="24"/>
          <w:lang w:eastAsia="zh-CN"/>
        </w:rPr>
        <w:t>12</w:t>
      </w:r>
      <w:r>
        <w:rPr>
          <w:rFonts w:ascii="Times New Roman" w:eastAsia="楷体_GB2312" w:hAnsi="Times New Roman"/>
          <w:snapToGrid w:val="0"/>
          <w:color w:val="000000"/>
          <w:spacing w:val="-2"/>
          <w:sz w:val="24"/>
          <w:szCs w:val="24"/>
          <w:lang w:eastAsia="zh-CN"/>
        </w:rPr>
        <w:t>个月，保理融资利率不高于保理发生时</w:t>
      </w:r>
      <w:r>
        <w:rPr>
          <w:rFonts w:ascii="Times New Roman" w:eastAsia="楷体_GB2312" w:hAnsi="Times New Roman"/>
          <w:snapToGrid w:val="0"/>
          <w:color w:val="000000"/>
          <w:spacing w:val="-2"/>
          <w:sz w:val="24"/>
          <w:szCs w:val="24"/>
          <w:lang w:eastAsia="zh-CN"/>
        </w:rPr>
        <w:t>1</w:t>
      </w:r>
      <w:r>
        <w:rPr>
          <w:rFonts w:ascii="Times New Roman" w:eastAsia="楷体_GB2312" w:hAnsi="Times New Roman"/>
          <w:snapToGrid w:val="0"/>
          <w:color w:val="000000"/>
          <w:spacing w:val="-2"/>
          <w:sz w:val="24"/>
          <w:szCs w:val="24"/>
          <w:lang w:eastAsia="zh-CN"/>
        </w:rPr>
        <w:t>年期</w:t>
      </w:r>
      <w:r>
        <w:rPr>
          <w:rFonts w:ascii="Times New Roman" w:eastAsia="楷体_GB2312" w:hAnsi="Times New Roman"/>
          <w:snapToGrid w:val="0"/>
          <w:color w:val="000000"/>
          <w:spacing w:val="-2"/>
          <w:sz w:val="24"/>
          <w:szCs w:val="24"/>
          <w:lang w:eastAsia="zh-CN"/>
        </w:rPr>
        <w:t>LPR</w:t>
      </w:r>
      <w:r>
        <w:rPr>
          <w:rFonts w:ascii="Times New Roman" w:eastAsia="楷体_GB2312" w:hAnsi="Times New Roman"/>
          <w:snapToGrid w:val="0"/>
          <w:color w:val="000000"/>
          <w:spacing w:val="-2"/>
          <w:sz w:val="24"/>
          <w:szCs w:val="24"/>
          <w:lang w:eastAsia="zh-CN"/>
        </w:rPr>
        <w:t>。</w:t>
      </w:r>
    </w:p>
    <w:p w:rsidR="00000000" w:rsidRDefault="0039434F">
      <w:pPr>
        <w:pStyle w:val="a4"/>
        <w:widowControl/>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2"/>
          <w:sz w:val="24"/>
          <w:szCs w:val="24"/>
          <w:lang w:eastAsia="zh-CN"/>
        </w:rPr>
      </w:pPr>
      <w:r>
        <w:rPr>
          <w:rFonts w:ascii="Times New Roman" w:eastAsia="楷体_GB2312" w:hAnsi="Times New Roman" w:hint="eastAsia"/>
          <w:snapToGrid w:val="0"/>
          <w:color w:val="000000"/>
          <w:spacing w:val="-2"/>
          <w:sz w:val="24"/>
          <w:szCs w:val="24"/>
          <w:lang w:eastAsia="zh-CN"/>
        </w:rPr>
        <w:lastRenderedPageBreak/>
        <w:t>根据本基金</w:t>
      </w:r>
      <w:r>
        <w:rPr>
          <w:rFonts w:ascii="Times New Roman" w:eastAsia="楷体_GB2312" w:hAnsi="Times New Roman" w:hint="eastAsia"/>
          <w:snapToGrid w:val="0"/>
          <w:color w:val="000000"/>
          <w:spacing w:val="-2"/>
          <w:sz w:val="24"/>
          <w:szCs w:val="24"/>
          <w:lang w:eastAsia="zh-CN"/>
        </w:rPr>
        <w:t>2025</w:t>
      </w:r>
      <w:r>
        <w:rPr>
          <w:rFonts w:ascii="Times New Roman" w:eastAsia="楷体_GB2312" w:hAnsi="Times New Roman" w:hint="eastAsia"/>
          <w:snapToGrid w:val="0"/>
          <w:color w:val="000000"/>
          <w:spacing w:val="-2"/>
          <w:sz w:val="24"/>
          <w:szCs w:val="24"/>
          <w:lang w:eastAsia="zh-CN"/>
        </w:rPr>
        <w:t>年</w:t>
      </w:r>
      <w:r>
        <w:rPr>
          <w:rFonts w:ascii="Times New Roman" w:eastAsia="楷体_GB2312" w:hAnsi="Times New Roman" w:hint="eastAsia"/>
          <w:snapToGrid w:val="0"/>
          <w:color w:val="000000"/>
          <w:spacing w:val="-2"/>
          <w:sz w:val="24"/>
          <w:szCs w:val="24"/>
          <w:lang w:eastAsia="zh-CN"/>
        </w:rPr>
        <w:t>12</w:t>
      </w:r>
      <w:r>
        <w:rPr>
          <w:rFonts w:ascii="Times New Roman" w:eastAsia="楷体_GB2312" w:hAnsi="Times New Roman" w:hint="eastAsia"/>
          <w:snapToGrid w:val="0"/>
          <w:color w:val="000000"/>
          <w:spacing w:val="-2"/>
          <w:sz w:val="24"/>
          <w:szCs w:val="24"/>
          <w:lang w:eastAsia="zh-CN"/>
        </w:rPr>
        <w:t>月</w:t>
      </w:r>
      <w:r>
        <w:rPr>
          <w:rFonts w:ascii="Times New Roman" w:eastAsia="楷体_GB2312" w:hAnsi="Times New Roman" w:hint="eastAsia"/>
          <w:snapToGrid w:val="0"/>
          <w:color w:val="000000"/>
          <w:spacing w:val="-2"/>
          <w:sz w:val="24"/>
          <w:szCs w:val="24"/>
          <w:lang w:eastAsia="zh-CN"/>
        </w:rPr>
        <w:t>12</w:t>
      </w:r>
      <w:r>
        <w:rPr>
          <w:rFonts w:ascii="Times New Roman" w:eastAsia="楷体_GB2312" w:hAnsi="Times New Roman" w:hint="eastAsia"/>
          <w:snapToGrid w:val="0"/>
          <w:color w:val="000000"/>
          <w:spacing w:val="-2"/>
          <w:sz w:val="24"/>
          <w:szCs w:val="24"/>
          <w:lang w:eastAsia="zh-CN"/>
        </w:rPr>
        <w:t>日发布的《中航基金管理有限公司关于中航首钢生物质封闭式基础设施证券投资基金保理借款情况的临时公告》，项目公司于</w:t>
      </w:r>
      <w:r>
        <w:rPr>
          <w:rFonts w:ascii="Times New Roman" w:eastAsia="楷体_GB2312" w:hAnsi="Times New Roman" w:hint="eastAsia"/>
          <w:snapToGrid w:val="0"/>
          <w:color w:val="000000"/>
          <w:spacing w:val="-2"/>
          <w:sz w:val="24"/>
          <w:szCs w:val="24"/>
          <w:lang w:eastAsia="zh-CN"/>
        </w:rPr>
        <w:t>2025</w:t>
      </w:r>
      <w:r>
        <w:rPr>
          <w:rFonts w:ascii="Times New Roman" w:eastAsia="楷体_GB2312" w:hAnsi="Times New Roman" w:hint="eastAsia"/>
          <w:snapToGrid w:val="0"/>
          <w:color w:val="000000"/>
          <w:spacing w:val="-2"/>
          <w:sz w:val="24"/>
          <w:szCs w:val="24"/>
          <w:lang w:eastAsia="zh-CN"/>
        </w:rPr>
        <w:t>年</w:t>
      </w:r>
      <w:r>
        <w:rPr>
          <w:rFonts w:ascii="Times New Roman" w:eastAsia="楷体_GB2312" w:hAnsi="Times New Roman" w:hint="eastAsia"/>
          <w:snapToGrid w:val="0"/>
          <w:color w:val="000000"/>
          <w:spacing w:val="-2"/>
          <w:sz w:val="24"/>
          <w:szCs w:val="24"/>
          <w:lang w:eastAsia="zh-CN"/>
        </w:rPr>
        <w:t>12</w:t>
      </w:r>
      <w:r>
        <w:rPr>
          <w:rFonts w:ascii="Times New Roman" w:eastAsia="楷体_GB2312" w:hAnsi="Times New Roman" w:hint="eastAsia"/>
          <w:snapToGrid w:val="0"/>
          <w:color w:val="000000"/>
          <w:spacing w:val="-2"/>
          <w:sz w:val="24"/>
          <w:szCs w:val="24"/>
          <w:lang w:eastAsia="zh-CN"/>
        </w:rPr>
        <w:t>月</w:t>
      </w:r>
      <w:r>
        <w:rPr>
          <w:rFonts w:ascii="Times New Roman" w:eastAsia="楷体_GB2312" w:hAnsi="Times New Roman" w:hint="eastAsia"/>
          <w:snapToGrid w:val="0"/>
          <w:color w:val="000000"/>
          <w:spacing w:val="-2"/>
          <w:sz w:val="24"/>
          <w:szCs w:val="24"/>
          <w:lang w:eastAsia="zh-CN"/>
        </w:rPr>
        <w:t>10</w:t>
      </w:r>
      <w:r>
        <w:rPr>
          <w:rFonts w:ascii="Times New Roman" w:eastAsia="楷体_GB2312" w:hAnsi="Times New Roman" w:hint="eastAsia"/>
          <w:snapToGrid w:val="0"/>
          <w:color w:val="000000"/>
          <w:spacing w:val="-2"/>
          <w:sz w:val="24"/>
          <w:szCs w:val="24"/>
          <w:lang w:eastAsia="zh-CN"/>
        </w:rPr>
        <w:t>日收到招商银行国补保理融资借款</w:t>
      </w:r>
      <w:r>
        <w:rPr>
          <w:rFonts w:ascii="Times New Roman" w:eastAsia="楷体_GB2312" w:hAnsi="Times New Roman" w:hint="eastAsia"/>
          <w:snapToGrid w:val="0"/>
          <w:color w:val="000000"/>
          <w:spacing w:val="-6"/>
          <w:sz w:val="24"/>
          <w:szCs w:val="24"/>
          <w:lang w:eastAsia="zh-CN"/>
        </w:rPr>
        <w:t>1</w:t>
      </w:r>
      <w:r>
        <w:rPr>
          <w:rFonts w:ascii="Times New Roman" w:eastAsia="楷体_GB2312" w:hAnsi="Times New Roman"/>
          <w:snapToGrid w:val="0"/>
          <w:color w:val="000000"/>
          <w:spacing w:val="-6"/>
          <w:sz w:val="24"/>
          <w:szCs w:val="24"/>
          <w:lang w:eastAsia="zh-CN"/>
        </w:rPr>
        <w:t>0,00</w:t>
      </w:r>
      <w:r>
        <w:rPr>
          <w:rFonts w:ascii="Times New Roman" w:eastAsia="楷体_GB2312" w:hAnsi="Times New Roman"/>
          <w:snapToGrid w:val="0"/>
          <w:color w:val="000000"/>
          <w:spacing w:val="-6"/>
          <w:sz w:val="24"/>
          <w:szCs w:val="24"/>
          <w:lang w:eastAsia="zh-CN"/>
        </w:rPr>
        <w:t>0,000.00</w:t>
      </w:r>
      <w:r>
        <w:rPr>
          <w:rFonts w:ascii="Times New Roman" w:eastAsia="楷体_GB2312" w:hAnsi="Times New Roman"/>
          <w:snapToGrid w:val="0"/>
          <w:color w:val="000000"/>
          <w:spacing w:val="-6"/>
          <w:sz w:val="24"/>
          <w:szCs w:val="24"/>
          <w:lang w:eastAsia="zh-CN"/>
        </w:rPr>
        <w:t>元</w:t>
      </w:r>
      <w:r>
        <w:rPr>
          <w:rFonts w:ascii="Times New Roman" w:eastAsia="楷体_GB2312" w:hAnsi="Times New Roman" w:hint="eastAsia"/>
          <w:snapToGrid w:val="0"/>
          <w:color w:val="000000"/>
          <w:spacing w:val="-6"/>
          <w:sz w:val="24"/>
          <w:szCs w:val="24"/>
          <w:lang w:eastAsia="zh-CN"/>
        </w:rPr>
        <w:t>，用于补充项目公司流动资金。</w:t>
      </w:r>
    </w:p>
    <w:p w:rsidR="00000000" w:rsidRDefault="0039434F">
      <w:pPr>
        <w:pStyle w:val="a4"/>
        <w:widowControl/>
        <w:topLinePunct/>
        <w:adjustRightInd w:val="0"/>
        <w:snapToGrid w:val="0"/>
        <w:spacing w:before="33" w:line="235" w:lineRule="auto"/>
        <w:ind w:left="23" w:firstLine="456"/>
        <w:textAlignment w:val="baseline"/>
        <w:rPr>
          <w:rFonts w:ascii="Times New Roman" w:eastAsia="楷体_GB2312" w:hAnsi="Times New Roman"/>
          <w:b/>
          <w:bCs/>
          <w:snapToGrid w:val="0"/>
          <w:color w:val="000000"/>
          <w:spacing w:val="-2"/>
          <w:sz w:val="24"/>
          <w:szCs w:val="24"/>
          <w:lang w:eastAsia="zh-CN"/>
        </w:rPr>
      </w:pPr>
      <w:r>
        <w:rPr>
          <w:rFonts w:ascii="Times New Roman" w:eastAsia="楷体_GB2312" w:hAnsi="Times New Roman"/>
          <w:b/>
          <w:bCs/>
          <w:snapToGrid w:val="0"/>
          <w:color w:val="000000"/>
          <w:spacing w:val="-2"/>
          <w:sz w:val="24"/>
          <w:szCs w:val="24"/>
          <w:lang w:eastAsia="zh-CN"/>
        </w:rPr>
        <w:t>（</w:t>
      </w:r>
      <w:r>
        <w:rPr>
          <w:rFonts w:ascii="Times New Roman" w:eastAsia="楷体_GB2312" w:hAnsi="Times New Roman"/>
          <w:b/>
          <w:bCs/>
          <w:snapToGrid w:val="0"/>
          <w:color w:val="000000"/>
          <w:spacing w:val="-2"/>
          <w:sz w:val="24"/>
          <w:szCs w:val="24"/>
          <w:lang w:eastAsia="zh-CN"/>
        </w:rPr>
        <w:t>1</w:t>
      </w:r>
      <w:r>
        <w:rPr>
          <w:rFonts w:ascii="Times New Roman" w:eastAsia="楷体_GB2312" w:hAnsi="Times New Roman"/>
          <w:b/>
          <w:bCs/>
          <w:snapToGrid w:val="0"/>
          <w:color w:val="000000"/>
          <w:spacing w:val="-2"/>
          <w:sz w:val="24"/>
          <w:szCs w:val="24"/>
          <w:lang w:eastAsia="zh-CN"/>
        </w:rPr>
        <w:t>）本次</w:t>
      </w:r>
      <w:r>
        <w:rPr>
          <w:rFonts w:ascii="Times New Roman" w:eastAsia="楷体_GB2312" w:hAnsi="Times New Roman"/>
          <w:b/>
          <w:bCs/>
          <w:snapToGrid w:val="0"/>
          <w:color w:val="000000"/>
          <w:spacing w:val="-2"/>
          <w:sz w:val="24"/>
          <w:szCs w:val="24"/>
          <w:lang w:eastAsia="zh-CN"/>
        </w:rPr>
        <w:t>借款基本情况</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本次借款为国补应收账款保理业务，按照法律法规、监管规定、《国内保理业务协议》及《授信协议》开展业务活动。本次</w:t>
      </w:r>
      <w:r>
        <w:rPr>
          <w:rFonts w:ascii="Times New Roman" w:eastAsia="楷体_GB2312" w:hAnsi="Times New Roman" w:hint="eastAsia"/>
          <w:snapToGrid w:val="0"/>
          <w:color w:val="000000"/>
          <w:spacing w:val="-6"/>
          <w:sz w:val="24"/>
          <w:szCs w:val="24"/>
          <w:lang w:eastAsia="zh-CN"/>
        </w:rPr>
        <w:t>提</w:t>
      </w:r>
      <w:r>
        <w:rPr>
          <w:rFonts w:ascii="Times New Roman" w:eastAsia="楷体_GB2312" w:hAnsi="Times New Roman"/>
          <w:snapToGrid w:val="0"/>
          <w:color w:val="000000"/>
          <w:spacing w:val="-6"/>
          <w:sz w:val="24"/>
          <w:szCs w:val="24"/>
          <w:lang w:eastAsia="zh-CN"/>
        </w:rPr>
        <w:t>款金额为</w:t>
      </w:r>
      <w:r>
        <w:rPr>
          <w:rFonts w:ascii="Times New Roman" w:eastAsia="楷体_GB2312" w:hAnsi="Times New Roman" w:hint="eastAsia"/>
          <w:snapToGrid w:val="0"/>
          <w:color w:val="000000"/>
          <w:spacing w:val="-6"/>
          <w:sz w:val="24"/>
          <w:szCs w:val="24"/>
          <w:lang w:eastAsia="zh-CN"/>
        </w:rPr>
        <w:t>2</w:t>
      </w:r>
      <w:r>
        <w:rPr>
          <w:rFonts w:ascii="Times New Roman" w:eastAsia="楷体_GB2312" w:hAnsi="Times New Roman"/>
          <w:snapToGrid w:val="0"/>
          <w:color w:val="000000"/>
          <w:spacing w:val="-6"/>
          <w:sz w:val="24"/>
          <w:szCs w:val="24"/>
          <w:lang w:eastAsia="zh-CN"/>
        </w:rPr>
        <w:t>0,000,000.00</w:t>
      </w:r>
      <w:r>
        <w:rPr>
          <w:rFonts w:ascii="Times New Roman" w:eastAsia="楷体_GB2312" w:hAnsi="Times New Roman"/>
          <w:snapToGrid w:val="0"/>
          <w:color w:val="000000"/>
          <w:spacing w:val="-6"/>
          <w:sz w:val="24"/>
          <w:szCs w:val="24"/>
          <w:lang w:eastAsia="zh-CN"/>
        </w:rPr>
        <w:t>元，借款</w:t>
      </w:r>
      <w:r>
        <w:rPr>
          <w:rFonts w:ascii="Times New Roman" w:eastAsia="楷体_GB2312" w:hAnsi="Times New Roman" w:hint="eastAsia"/>
          <w:snapToGrid w:val="0"/>
          <w:color w:val="000000"/>
          <w:spacing w:val="-6"/>
          <w:sz w:val="24"/>
          <w:szCs w:val="24"/>
          <w:lang w:eastAsia="zh-CN"/>
        </w:rPr>
        <w:t>年</w:t>
      </w:r>
      <w:r>
        <w:rPr>
          <w:rFonts w:ascii="Times New Roman" w:eastAsia="楷体_GB2312" w:hAnsi="Times New Roman"/>
          <w:snapToGrid w:val="0"/>
          <w:color w:val="000000"/>
          <w:spacing w:val="-6"/>
          <w:sz w:val="24"/>
          <w:szCs w:val="24"/>
          <w:lang w:eastAsia="zh-CN"/>
        </w:rPr>
        <w:t>利率为</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以定价日前</w:t>
      </w:r>
      <w:r>
        <w:rPr>
          <w:rFonts w:ascii="Times New Roman" w:eastAsia="楷体_GB2312" w:hAnsi="Times New Roman"/>
          <w:snapToGrid w:val="0"/>
          <w:color w:val="000000"/>
          <w:spacing w:val="-6"/>
          <w:sz w:val="24"/>
          <w:szCs w:val="24"/>
          <w:lang w:eastAsia="zh-CN"/>
        </w:rPr>
        <w:t>1</w:t>
      </w:r>
      <w:r>
        <w:rPr>
          <w:rFonts w:ascii="Times New Roman" w:eastAsia="楷体_GB2312" w:hAnsi="Times New Roman"/>
          <w:snapToGrid w:val="0"/>
          <w:color w:val="000000"/>
          <w:spacing w:val="-6"/>
          <w:sz w:val="24"/>
          <w:szCs w:val="24"/>
          <w:lang w:eastAsia="zh-CN"/>
        </w:rPr>
        <w:t>个工作日全国银行间同业拆借中心公布的</w:t>
      </w:r>
      <w:r>
        <w:rPr>
          <w:rFonts w:ascii="Times New Roman" w:eastAsia="楷体_GB2312" w:hAnsi="Times New Roman"/>
          <w:snapToGrid w:val="0"/>
          <w:color w:val="000000"/>
          <w:spacing w:val="-6"/>
          <w:sz w:val="24"/>
          <w:szCs w:val="24"/>
          <w:lang w:eastAsia="zh-CN"/>
        </w:rPr>
        <w:t>1</w:t>
      </w:r>
      <w:r>
        <w:rPr>
          <w:rFonts w:ascii="Times New Roman" w:eastAsia="楷体_GB2312" w:hAnsi="Times New Roman"/>
          <w:snapToGrid w:val="0"/>
          <w:color w:val="000000"/>
          <w:spacing w:val="-6"/>
          <w:sz w:val="24"/>
          <w:szCs w:val="24"/>
          <w:lang w:eastAsia="zh-CN"/>
        </w:rPr>
        <w:t>年期贷款市场报价利率（</w:t>
      </w:r>
      <w:r>
        <w:rPr>
          <w:rFonts w:ascii="Times New Roman" w:eastAsia="楷体_GB2312" w:hAnsi="Times New Roman"/>
          <w:snapToGrid w:val="0"/>
          <w:color w:val="000000"/>
          <w:spacing w:val="-6"/>
          <w:sz w:val="24"/>
          <w:szCs w:val="24"/>
          <w:lang w:eastAsia="zh-CN"/>
        </w:rPr>
        <w:t>LPR</w:t>
      </w:r>
      <w:r>
        <w:rPr>
          <w:rFonts w:ascii="Times New Roman" w:eastAsia="楷体_GB2312" w:hAnsi="Times New Roman"/>
          <w:snapToGrid w:val="0"/>
          <w:color w:val="000000"/>
          <w:spacing w:val="-6"/>
          <w:sz w:val="24"/>
          <w:szCs w:val="24"/>
          <w:lang w:eastAsia="zh-CN"/>
        </w:rPr>
        <w:t>）为基准利率，减</w:t>
      </w:r>
      <w:r>
        <w:rPr>
          <w:rFonts w:ascii="Times New Roman" w:eastAsia="楷体_GB2312" w:hAnsi="Times New Roman"/>
          <w:snapToGrid w:val="0"/>
          <w:color w:val="000000"/>
          <w:spacing w:val="-6"/>
          <w:sz w:val="24"/>
          <w:szCs w:val="24"/>
          <w:lang w:eastAsia="zh-CN"/>
        </w:rPr>
        <w:t>52</w:t>
      </w:r>
      <w:r>
        <w:rPr>
          <w:rFonts w:ascii="Times New Roman" w:eastAsia="楷体_GB2312" w:hAnsi="Times New Roman"/>
          <w:snapToGrid w:val="0"/>
          <w:color w:val="000000"/>
          <w:spacing w:val="-6"/>
          <w:sz w:val="24"/>
          <w:szCs w:val="24"/>
          <w:lang w:eastAsia="zh-CN"/>
        </w:rPr>
        <w:t>个基本点（</w:t>
      </w:r>
      <w:r>
        <w:rPr>
          <w:rFonts w:ascii="Times New Roman" w:eastAsia="楷体_GB2312" w:hAnsi="Times New Roman"/>
          <w:snapToGrid w:val="0"/>
          <w:color w:val="000000"/>
          <w:spacing w:val="-6"/>
          <w:sz w:val="24"/>
          <w:szCs w:val="24"/>
          <w:lang w:eastAsia="zh-CN"/>
        </w:rPr>
        <w:t>BPs</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放款日为</w:t>
      </w:r>
      <w:r>
        <w:rPr>
          <w:rFonts w:ascii="Times New Roman" w:eastAsia="楷体_GB2312" w:hAnsi="Times New Roman"/>
          <w:snapToGrid w:val="0"/>
          <w:color w:val="000000"/>
          <w:spacing w:val="-6"/>
          <w:sz w:val="24"/>
          <w:szCs w:val="24"/>
          <w:lang w:eastAsia="zh-CN"/>
        </w:rPr>
        <w:t>202</w:t>
      </w:r>
      <w:r>
        <w:rPr>
          <w:rFonts w:ascii="Times New Roman" w:eastAsia="楷体_GB2312" w:hAnsi="Times New Roman" w:hint="eastAsia"/>
          <w:snapToGrid w:val="0"/>
          <w:color w:val="000000"/>
          <w:spacing w:val="-6"/>
          <w:sz w:val="24"/>
          <w:szCs w:val="24"/>
          <w:lang w:eastAsia="zh-CN"/>
        </w:rPr>
        <w:t>5</w:t>
      </w:r>
      <w:r>
        <w:rPr>
          <w:rFonts w:ascii="Times New Roman" w:eastAsia="楷体_GB2312" w:hAnsi="Times New Roman"/>
          <w:snapToGrid w:val="0"/>
          <w:color w:val="000000"/>
          <w:spacing w:val="-6"/>
          <w:sz w:val="24"/>
          <w:szCs w:val="24"/>
          <w:lang w:eastAsia="zh-CN"/>
        </w:rPr>
        <w:t>年</w:t>
      </w:r>
      <w:r>
        <w:rPr>
          <w:rFonts w:ascii="Times New Roman" w:eastAsia="楷体_GB2312" w:hAnsi="Times New Roman"/>
          <w:snapToGrid w:val="0"/>
          <w:color w:val="000000"/>
          <w:spacing w:val="-6"/>
          <w:sz w:val="24"/>
          <w:szCs w:val="24"/>
          <w:lang w:eastAsia="zh-CN"/>
        </w:rPr>
        <w:t>12</w:t>
      </w:r>
      <w:r>
        <w:rPr>
          <w:rFonts w:ascii="Times New Roman" w:eastAsia="楷体_GB2312" w:hAnsi="Times New Roman"/>
          <w:snapToGrid w:val="0"/>
          <w:color w:val="000000"/>
          <w:spacing w:val="-6"/>
          <w:sz w:val="24"/>
          <w:szCs w:val="24"/>
          <w:lang w:eastAsia="zh-CN"/>
        </w:rPr>
        <w:t>月</w:t>
      </w:r>
      <w:r>
        <w:rPr>
          <w:rFonts w:ascii="Times New Roman" w:eastAsia="楷体_GB2312" w:hAnsi="Times New Roman" w:hint="eastAsia"/>
          <w:snapToGrid w:val="0"/>
          <w:color w:val="000000"/>
          <w:spacing w:val="-6"/>
          <w:sz w:val="24"/>
          <w:szCs w:val="24"/>
          <w:lang w:eastAsia="zh-CN"/>
        </w:rPr>
        <w:t>26</w:t>
      </w:r>
      <w:r>
        <w:rPr>
          <w:rFonts w:ascii="Times New Roman" w:eastAsia="楷体_GB2312" w:hAnsi="Times New Roman"/>
          <w:snapToGrid w:val="0"/>
          <w:color w:val="000000"/>
          <w:spacing w:val="-6"/>
          <w:sz w:val="24"/>
          <w:szCs w:val="24"/>
          <w:lang w:eastAsia="zh-CN"/>
        </w:rPr>
        <w:t>日</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借款</w:t>
      </w:r>
      <w:r>
        <w:rPr>
          <w:rFonts w:ascii="Times New Roman" w:eastAsia="楷体_GB2312" w:hAnsi="Times New Roman" w:hint="eastAsia"/>
          <w:snapToGrid w:val="0"/>
          <w:color w:val="000000"/>
          <w:spacing w:val="-6"/>
          <w:sz w:val="24"/>
          <w:szCs w:val="24"/>
          <w:lang w:eastAsia="zh-CN"/>
        </w:rPr>
        <w:t>到期日为</w:t>
      </w:r>
      <w:r>
        <w:rPr>
          <w:rFonts w:ascii="Times New Roman" w:eastAsia="楷体_GB2312" w:hAnsi="Times New Roman" w:hint="eastAsia"/>
          <w:snapToGrid w:val="0"/>
          <w:color w:val="000000"/>
          <w:spacing w:val="-6"/>
          <w:sz w:val="24"/>
          <w:szCs w:val="24"/>
          <w:lang w:eastAsia="zh-CN"/>
        </w:rPr>
        <w:t>2026</w:t>
      </w:r>
      <w:r>
        <w:rPr>
          <w:rFonts w:ascii="Times New Roman" w:eastAsia="楷体_GB2312" w:hAnsi="Times New Roman" w:hint="eastAsia"/>
          <w:snapToGrid w:val="0"/>
          <w:color w:val="000000"/>
          <w:spacing w:val="-6"/>
          <w:sz w:val="24"/>
          <w:szCs w:val="24"/>
          <w:lang w:eastAsia="zh-CN"/>
        </w:rPr>
        <w:t>年</w:t>
      </w:r>
      <w:r>
        <w:rPr>
          <w:rFonts w:ascii="Times New Roman" w:eastAsia="楷体_GB2312" w:hAnsi="Times New Roman" w:hint="eastAsia"/>
          <w:snapToGrid w:val="0"/>
          <w:color w:val="000000"/>
          <w:spacing w:val="-6"/>
          <w:sz w:val="24"/>
          <w:szCs w:val="24"/>
          <w:lang w:eastAsia="zh-CN"/>
        </w:rPr>
        <w:t>12</w:t>
      </w:r>
      <w:r>
        <w:rPr>
          <w:rFonts w:ascii="Times New Roman" w:eastAsia="楷体_GB2312" w:hAnsi="Times New Roman" w:hint="eastAsia"/>
          <w:snapToGrid w:val="0"/>
          <w:color w:val="000000"/>
          <w:spacing w:val="-6"/>
          <w:sz w:val="24"/>
          <w:szCs w:val="24"/>
          <w:lang w:eastAsia="zh-CN"/>
        </w:rPr>
        <w:t>月</w:t>
      </w:r>
      <w:r>
        <w:rPr>
          <w:rFonts w:ascii="Times New Roman" w:eastAsia="楷体_GB2312" w:hAnsi="Times New Roman" w:hint="eastAsia"/>
          <w:snapToGrid w:val="0"/>
          <w:color w:val="000000"/>
          <w:spacing w:val="-6"/>
          <w:sz w:val="24"/>
          <w:szCs w:val="24"/>
          <w:lang w:eastAsia="zh-CN"/>
        </w:rPr>
        <w:t>10</w:t>
      </w:r>
      <w:r>
        <w:rPr>
          <w:rFonts w:ascii="Times New Roman" w:eastAsia="楷体_GB2312" w:hAnsi="Times New Roman" w:hint="eastAsia"/>
          <w:snapToGrid w:val="0"/>
          <w:color w:val="000000"/>
          <w:spacing w:val="-6"/>
          <w:sz w:val="24"/>
          <w:szCs w:val="24"/>
          <w:lang w:eastAsia="zh-CN"/>
        </w:rPr>
        <w:t>日</w:t>
      </w:r>
      <w:r>
        <w:rPr>
          <w:rFonts w:ascii="Times New Roman" w:eastAsia="楷体_GB2312" w:hAnsi="Times New Roman"/>
          <w:snapToGrid w:val="0"/>
          <w:color w:val="000000"/>
          <w:spacing w:val="-6"/>
          <w:sz w:val="24"/>
          <w:szCs w:val="24"/>
          <w:lang w:eastAsia="zh-CN"/>
        </w:rPr>
        <w:t>。</w:t>
      </w:r>
    </w:p>
    <w:p w:rsidR="00000000" w:rsidRDefault="0039434F">
      <w:pPr>
        <w:pStyle w:val="a4"/>
        <w:widowControl/>
        <w:topLinePunct/>
        <w:adjustRightInd w:val="0"/>
        <w:snapToGrid w:val="0"/>
        <w:spacing w:before="33" w:line="235" w:lineRule="auto"/>
        <w:ind w:left="0" w:firstLineChars="200" w:firstLine="474"/>
        <w:textAlignment w:val="baseline"/>
        <w:rPr>
          <w:rFonts w:ascii="Times New Roman" w:eastAsia="楷体_GB2312" w:hAnsi="Times New Roman"/>
          <w:b/>
          <w:bCs/>
          <w:snapToGrid w:val="0"/>
          <w:color w:val="000000"/>
          <w:spacing w:val="-2"/>
          <w:sz w:val="24"/>
          <w:szCs w:val="24"/>
          <w:lang w:eastAsia="zh-CN"/>
        </w:rPr>
      </w:pPr>
      <w:r>
        <w:rPr>
          <w:rFonts w:ascii="Times New Roman" w:eastAsia="楷体_GB2312" w:hAnsi="Times New Roman"/>
          <w:b/>
          <w:bCs/>
          <w:snapToGrid w:val="0"/>
          <w:color w:val="000000"/>
          <w:spacing w:val="-2"/>
          <w:sz w:val="24"/>
          <w:szCs w:val="24"/>
          <w:lang w:eastAsia="zh-CN"/>
        </w:rPr>
        <w:t>（</w:t>
      </w:r>
      <w:r>
        <w:rPr>
          <w:rFonts w:ascii="Times New Roman" w:eastAsia="楷体_GB2312" w:hAnsi="Times New Roman" w:hint="eastAsia"/>
          <w:b/>
          <w:bCs/>
          <w:snapToGrid w:val="0"/>
          <w:color w:val="000000"/>
          <w:spacing w:val="-2"/>
          <w:sz w:val="24"/>
          <w:szCs w:val="24"/>
          <w:lang w:eastAsia="zh-CN"/>
        </w:rPr>
        <w:t>2</w:t>
      </w:r>
      <w:r>
        <w:rPr>
          <w:rFonts w:ascii="Times New Roman" w:eastAsia="楷体_GB2312" w:hAnsi="Times New Roman"/>
          <w:b/>
          <w:bCs/>
          <w:snapToGrid w:val="0"/>
          <w:color w:val="000000"/>
          <w:spacing w:val="-2"/>
          <w:sz w:val="24"/>
          <w:szCs w:val="24"/>
          <w:lang w:eastAsia="zh-CN"/>
        </w:rPr>
        <w:t>）</w:t>
      </w:r>
      <w:r>
        <w:rPr>
          <w:rFonts w:ascii="Times New Roman" w:eastAsia="楷体_GB2312" w:hAnsi="Times New Roman"/>
          <w:b/>
          <w:bCs/>
          <w:snapToGrid w:val="0"/>
          <w:color w:val="000000"/>
          <w:spacing w:val="-2"/>
          <w:sz w:val="24"/>
          <w:szCs w:val="24"/>
          <w:lang w:eastAsia="zh-CN"/>
        </w:rPr>
        <w:t>借款增信方式、基础设施资产被抵押、质押等权利限制情况</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不涉及。</w:t>
      </w:r>
    </w:p>
    <w:p w:rsidR="00000000" w:rsidRDefault="0039434F">
      <w:pPr>
        <w:pStyle w:val="a4"/>
        <w:widowControl/>
        <w:topLinePunct/>
        <w:adjustRightInd w:val="0"/>
        <w:snapToGrid w:val="0"/>
        <w:spacing w:before="33" w:line="235" w:lineRule="auto"/>
        <w:ind w:left="23" w:firstLine="456"/>
        <w:textAlignment w:val="baseline"/>
        <w:rPr>
          <w:rFonts w:ascii="Times New Roman" w:eastAsia="楷体_GB2312" w:hAnsi="Times New Roman"/>
          <w:b/>
          <w:bCs/>
          <w:snapToGrid w:val="0"/>
          <w:color w:val="000000"/>
          <w:spacing w:val="-2"/>
          <w:sz w:val="24"/>
          <w:szCs w:val="24"/>
          <w:lang w:eastAsia="zh-CN"/>
        </w:rPr>
      </w:pPr>
      <w:r>
        <w:rPr>
          <w:rFonts w:ascii="Times New Roman" w:eastAsia="楷体_GB2312" w:hAnsi="Times New Roman"/>
          <w:b/>
          <w:bCs/>
          <w:snapToGrid w:val="0"/>
          <w:color w:val="000000"/>
          <w:spacing w:val="-2"/>
          <w:sz w:val="24"/>
          <w:szCs w:val="24"/>
          <w:lang w:eastAsia="zh-CN"/>
        </w:rPr>
        <w:t>（</w:t>
      </w:r>
      <w:r>
        <w:rPr>
          <w:rFonts w:ascii="Times New Roman" w:eastAsia="楷体_GB2312" w:hAnsi="Times New Roman" w:hint="eastAsia"/>
          <w:b/>
          <w:bCs/>
          <w:snapToGrid w:val="0"/>
          <w:color w:val="000000"/>
          <w:spacing w:val="-2"/>
          <w:sz w:val="24"/>
          <w:szCs w:val="24"/>
          <w:lang w:eastAsia="zh-CN"/>
        </w:rPr>
        <w:t>3</w:t>
      </w:r>
      <w:r>
        <w:rPr>
          <w:rFonts w:ascii="Times New Roman" w:eastAsia="楷体_GB2312" w:hAnsi="Times New Roman"/>
          <w:b/>
          <w:bCs/>
          <w:snapToGrid w:val="0"/>
          <w:color w:val="000000"/>
          <w:spacing w:val="-2"/>
          <w:sz w:val="24"/>
          <w:szCs w:val="24"/>
          <w:lang w:eastAsia="zh-CN"/>
        </w:rPr>
        <w:t>）</w:t>
      </w:r>
      <w:r>
        <w:rPr>
          <w:rFonts w:ascii="Times New Roman" w:eastAsia="楷体_GB2312" w:hAnsi="Times New Roman"/>
          <w:b/>
          <w:bCs/>
          <w:snapToGrid w:val="0"/>
          <w:color w:val="000000"/>
          <w:spacing w:val="-2"/>
          <w:sz w:val="24"/>
          <w:szCs w:val="24"/>
          <w:lang w:eastAsia="zh-CN"/>
        </w:rPr>
        <w:t>借款金额占基础</w:t>
      </w:r>
      <w:r>
        <w:rPr>
          <w:rFonts w:ascii="Times New Roman" w:eastAsia="楷体_GB2312" w:hAnsi="Times New Roman"/>
          <w:b/>
          <w:bCs/>
          <w:snapToGrid w:val="0"/>
          <w:color w:val="000000"/>
          <w:spacing w:val="-2"/>
          <w:sz w:val="24"/>
          <w:szCs w:val="24"/>
          <w:lang w:eastAsia="zh-CN"/>
        </w:rPr>
        <w:t>设施基金净资产的比例、借款前后基础设施基金总资产占基础设施基金净资产的比例</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本基金最新一期披露的基础设施基金净资产为</w:t>
      </w:r>
      <w:r>
        <w:rPr>
          <w:rFonts w:ascii="Times New Roman" w:eastAsia="楷体_GB2312" w:hAnsi="Times New Roman"/>
          <w:snapToGrid w:val="0"/>
          <w:color w:val="000000"/>
          <w:spacing w:val="-6"/>
          <w:sz w:val="24"/>
          <w:szCs w:val="24"/>
          <w:lang w:eastAsia="zh-CN"/>
        </w:rPr>
        <w:t>917,487,561.73</w:t>
      </w:r>
      <w:r>
        <w:rPr>
          <w:rFonts w:ascii="Times New Roman" w:eastAsia="楷体_GB2312" w:hAnsi="Times New Roman"/>
          <w:snapToGrid w:val="0"/>
          <w:color w:val="000000"/>
          <w:spacing w:val="-6"/>
          <w:sz w:val="24"/>
          <w:szCs w:val="24"/>
          <w:lang w:eastAsia="zh-CN"/>
        </w:rPr>
        <w:t>元（截至</w:t>
      </w:r>
      <w:r>
        <w:rPr>
          <w:rFonts w:ascii="Times New Roman" w:eastAsia="楷体_GB2312" w:hAnsi="Times New Roman"/>
          <w:snapToGrid w:val="0"/>
          <w:color w:val="000000"/>
          <w:spacing w:val="-6"/>
          <w:sz w:val="24"/>
          <w:szCs w:val="24"/>
          <w:lang w:eastAsia="zh-CN"/>
        </w:rPr>
        <w:t>202</w:t>
      </w:r>
      <w:r>
        <w:rPr>
          <w:rFonts w:ascii="Times New Roman" w:eastAsia="楷体_GB2312" w:hAnsi="Times New Roman" w:hint="eastAsia"/>
          <w:snapToGrid w:val="0"/>
          <w:color w:val="000000"/>
          <w:spacing w:val="-6"/>
          <w:sz w:val="24"/>
          <w:szCs w:val="24"/>
          <w:lang w:eastAsia="zh-CN"/>
        </w:rPr>
        <w:t>5</w:t>
      </w:r>
      <w:r>
        <w:rPr>
          <w:rFonts w:ascii="Times New Roman" w:eastAsia="楷体_GB2312" w:hAnsi="Times New Roman"/>
          <w:snapToGrid w:val="0"/>
          <w:color w:val="000000"/>
          <w:spacing w:val="-6"/>
          <w:sz w:val="24"/>
          <w:szCs w:val="24"/>
          <w:lang w:eastAsia="zh-CN"/>
        </w:rPr>
        <w:t>年</w:t>
      </w:r>
      <w:r>
        <w:rPr>
          <w:rFonts w:ascii="Times New Roman" w:eastAsia="楷体_GB2312" w:hAnsi="Times New Roman"/>
          <w:snapToGrid w:val="0"/>
          <w:color w:val="000000"/>
          <w:spacing w:val="-6"/>
          <w:sz w:val="24"/>
          <w:szCs w:val="24"/>
          <w:lang w:eastAsia="zh-CN"/>
        </w:rPr>
        <w:t>6</w:t>
      </w:r>
      <w:r>
        <w:rPr>
          <w:rFonts w:ascii="Times New Roman" w:eastAsia="楷体_GB2312" w:hAnsi="Times New Roman"/>
          <w:snapToGrid w:val="0"/>
          <w:color w:val="000000"/>
          <w:spacing w:val="-6"/>
          <w:sz w:val="24"/>
          <w:szCs w:val="24"/>
          <w:lang w:eastAsia="zh-CN"/>
        </w:rPr>
        <w:t>月</w:t>
      </w:r>
      <w:r>
        <w:rPr>
          <w:rFonts w:ascii="Times New Roman" w:eastAsia="楷体_GB2312" w:hAnsi="Times New Roman"/>
          <w:snapToGrid w:val="0"/>
          <w:color w:val="000000"/>
          <w:spacing w:val="-6"/>
          <w:sz w:val="24"/>
          <w:szCs w:val="24"/>
          <w:lang w:eastAsia="zh-CN"/>
        </w:rPr>
        <w:t>30</w:t>
      </w:r>
      <w:r>
        <w:rPr>
          <w:rFonts w:ascii="Times New Roman" w:eastAsia="楷体_GB2312" w:hAnsi="Times New Roman"/>
          <w:snapToGrid w:val="0"/>
          <w:color w:val="000000"/>
          <w:spacing w:val="-6"/>
          <w:sz w:val="24"/>
          <w:szCs w:val="24"/>
          <w:lang w:eastAsia="zh-CN"/>
        </w:rPr>
        <w:t>日），本次借款总金额为</w:t>
      </w:r>
      <w:r>
        <w:rPr>
          <w:rFonts w:ascii="Times New Roman" w:eastAsia="楷体_GB2312" w:hAnsi="Times New Roman" w:hint="eastAsia"/>
          <w:snapToGrid w:val="0"/>
          <w:color w:val="000000"/>
          <w:spacing w:val="-6"/>
          <w:sz w:val="24"/>
          <w:szCs w:val="24"/>
          <w:lang w:eastAsia="zh-CN"/>
        </w:rPr>
        <w:t>2</w:t>
      </w:r>
      <w:r>
        <w:rPr>
          <w:rFonts w:ascii="Times New Roman" w:eastAsia="楷体_GB2312" w:hAnsi="Times New Roman"/>
          <w:snapToGrid w:val="0"/>
          <w:color w:val="000000"/>
          <w:spacing w:val="-6"/>
          <w:sz w:val="24"/>
          <w:szCs w:val="24"/>
          <w:lang w:eastAsia="zh-CN"/>
        </w:rPr>
        <w:t>0,000,000.00</w:t>
      </w:r>
      <w:r>
        <w:rPr>
          <w:rFonts w:ascii="Times New Roman" w:eastAsia="楷体_GB2312" w:hAnsi="Times New Roman"/>
          <w:snapToGrid w:val="0"/>
          <w:color w:val="000000"/>
          <w:spacing w:val="-6"/>
          <w:sz w:val="24"/>
          <w:szCs w:val="24"/>
          <w:lang w:eastAsia="zh-CN"/>
        </w:rPr>
        <w:t>元，占基础设施基金净资产比例为</w:t>
      </w:r>
      <w:r>
        <w:rPr>
          <w:rFonts w:ascii="Times New Roman" w:eastAsia="楷体_GB2312" w:hAnsi="Times New Roman" w:hint="eastAsia"/>
          <w:snapToGrid w:val="0"/>
          <w:color w:val="000000"/>
          <w:spacing w:val="-6"/>
          <w:sz w:val="24"/>
          <w:szCs w:val="24"/>
          <w:lang w:eastAsia="zh-CN"/>
        </w:rPr>
        <w:t>2</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hint="eastAsia"/>
          <w:snapToGrid w:val="0"/>
          <w:color w:val="000000"/>
          <w:spacing w:val="-6"/>
          <w:sz w:val="24"/>
          <w:szCs w:val="24"/>
          <w:lang w:eastAsia="zh-CN"/>
        </w:rPr>
        <w:t>18</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；截至公告日，本基金最近</w:t>
      </w:r>
      <w:r>
        <w:rPr>
          <w:rFonts w:ascii="Times New Roman" w:eastAsia="楷体_GB2312" w:hAnsi="Times New Roman"/>
          <w:snapToGrid w:val="0"/>
          <w:color w:val="000000"/>
          <w:spacing w:val="-6"/>
          <w:sz w:val="24"/>
          <w:szCs w:val="24"/>
          <w:lang w:eastAsia="zh-CN"/>
        </w:rPr>
        <w:t>12</w:t>
      </w:r>
      <w:r>
        <w:rPr>
          <w:rFonts w:ascii="Times New Roman" w:eastAsia="楷体_GB2312" w:hAnsi="Times New Roman"/>
          <w:snapToGrid w:val="0"/>
          <w:color w:val="000000"/>
          <w:spacing w:val="-6"/>
          <w:sz w:val="24"/>
          <w:szCs w:val="24"/>
          <w:lang w:eastAsia="zh-CN"/>
        </w:rPr>
        <w:t>个月内累计借款</w:t>
      </w:r>
      <w:r>
        <w:rPr>
          <w:rFonts w:ascii="Times New Roman" w:eastAsia="楷体_GB2312" w:hAnsi="Times New Roman" w:hint="eastAsia"/>
          <w:snapToGrid w:val="0"/>
          <w:color w:val="000000"/>
          <w:spacing w:val="-6"/>
          <w:sz w:val="24"/>
          <w:szCs w:val="24"/>
          <w:lang w:eastAsia="zh-CN"/>
        </w:rPr>
        <w:t>金</w:t>
      </w:r>
      <w:r>
        <w:rPr>
          <w:rFonts w:ascii="Times New Roman" w:eastAsia="楷体_GB2312" w:hAnsi="Times New Roman"/>
          <w:snapToGrid w:val="0"/>
          <w:color w:val="000000"/>
          <w:spacing w:val="-6"/>
          <w:sz w:val="24"/>
          <w:szCs w:val="24"/>
          <w:lang w:eastAsia="zh-CN"/>
        </w:rPr>
        <w:t>额</w:t>
      </w:r>
      <w:r>
        <w:rPr>
          <w:rFonts w:ascii="Times New Roman" w:eastAsia="楷体_GB2312" w:hAnsi="Times New Roman" w:hint="eastAsia"/>
          <w:snapToGrid w:val="0"/>
          <w:color w:val="000000"/>
          <w:spacing w:val="-6"/>
          <w:sz w:val="24"/>
          <w:szCs w:val="24"/>
          <w:lang w:eastAsia="zh-CN"/>
        </w:rPr>
        <w:t>3</w:t>
      </w:r>
      <w:r>
        <w:rPr>
          <w:rFonts w:ascii="Times New Roman" w:eastAsia="楷体_GB2312" w:hAnsi="Times New Roman"/>
          <w:snapToGrid w:val="0"/>
          <w:color w:val="000000"/>
          <w:spacing w:val="-6"/>
          <w:sz w:val="24"/>
          <w:szCs w:val="24"/>
          <w:lang w:eastAsia="zh-CN"/>
        </w:rPr>
        <w:t>0,000,000.00</w:t>
      </w:r>
      <w:r>
        <w:rPr>
          <w:rFonts w:ascii="Times New Roman" w:eastAsia="楷体_GB2312" w:hAnsi="Times New Roman"/>
          <w:snapToGrid w:val="0"/>
          <w:color w:val="000000"/>
          <w:spacing w:val="-6"/>
          <w:sz w:val="24"/>
          <w:szCs w:val="24"/>
          <w:lang w:eastAsia="zh-CN"/>
        </w:rPr>
        <w:t>元，占基础设施基金净资产为</w:t>
      </w:r>
      <w:r>
        <w:rPr>
          <w:rFonts w:ascii="Times New Roman" w:eastAsia="楷体_GB2312" w:hAnsi="Times New Roman" w:hint="eastAsia"/>
          <w:snapToGrid w:val="0"/>
          <w:color w:val="000000"/>
          <w:spacing w:val="-6"/>
          <w:sz w:val="24"/>
          <w:szCs w:val="24"/>
          <w:lang w:eastAsia="zh-CN"/>
        </w:rPr>
        <w:t>3</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hint="eastAsia"/>
          <w:snapToGrid w:val="0"/>
          <w:color w:val="000000"/>
          <w:spacing w:val="-6"/>
          <w:sz w:val="24"/>
          <w:szCs w:val="24"/>
          <w:lang w:eastAsia="zh-CN"/>
        </w:rPr>
        <w:t>27</w:t>
      </w:r>
      <w:r>
        <w:rPr>
          <w:rFonts w:ascii="Times New Roman" w:eastAsia="楷体_GB2312" w:hAnsi="Times New Roman"/>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。本次借款未超过基础设施基金净资产的</w:t>
      </w:r>
      <w:r>
        <w:rPr>
          <w:rFonts w:ascii="Times New Roman" w:eastAsia="楷体_GB2312" w:hAnsi="Times New Roman"/>
          <w:snapToGrid w:val="0"/>
          <w:color w:val="000000"/>
          <w:spacing w:val="-6"/>
          <w:sz w:val="24"/>
          <w:szCs w:val="24"/>
          <w:lang w:eastAsia="zh-CN"/>
        </w:rPr>
        <w:t>5%</w:t>
      </w:r>
      <w:r>
        <w:rPr>
          <w:rFonts w:ascii="Times New Roman" w:eastAsia="楷体_GB2312" w:hAnsi="Times New Roman"/>
          <w:snapToGrid w:val="0"/>
          <w:color w:val="000000"/>
          <w:spacing w:val="-6"/>
          <w:sz w:val="24"/>
          <w:szCs w:val="24"/>
          <w:lang w:eastAsia="zh-CN"/>
        </w:rPr>
        <w:t>，本基金最近</w:t>
      </w:r>
      <w:r>
        <w:rPr>
          <w:rFonts w:ascii="Times New Roman" w:eastAsia="楷体_GB2312" w:hAnsi="Times New Roman"/>
          <w:snapToGrid w:val="0"/>
          <w:color w:val="000000"/>
          <w:spacing w:val="-6"/>
          <w:sz w:val="24"/>
          <w:szCs w:val="24"/>
          <w:lang w:eastAsia="zh-CN"/>
        </w:rPr>
        <w:t>12</w:t>
      </w:r>
      <w:r>
        <w:rPr>
          <w:rFonts w:ascii="Times New Roman" w:eastAsia="楷体_GB2312" w:hAnsi="Times New Roman"/>
          <w:snapToGrid w:val="0"/>
          <w:color w:val="000000"/>
          <w:spacing w:val="-6"/>
          <w:sz w:val="24"/>
          <w:szCs w:val="24"/>
          <w:lang w:eastAsia="zh-CN"/>
        </w:rPr>
        <w:t>个月内累计借款余额未超过基础设施基金净资产的</w:t>
      </w:r>
      <w:r>
        <w:rPr>
          <w:rFonts w:ascii="Times New Roman" w:eastAsia="楷体_GB2312" w:hAnsi="Times New Roman"/>
          <w:snapToGrid w:val="0"/>
          <w:color w:val="000000"/>
          <w:spacing w:val="-6"/>
          <w:sz w:val="24"/>
          <w:szCs w:val="24"/>
          <w:lang w:eastAsia="zh-CN"/>
        </w:rPr>
        <w:t>10%</w:t>
      </w:r>
      <w:r>
        <w:rPr>
          <w:rFonts w:ascii="Times New Roman" w:eastAsia="楷体_GB2312" w:hAnsi="Times New Roman"/>
          <w:snapToGrid w:val="0"/>
          <w:color w:val="000000"/>
          <w:spacing w:val="-6"/>
          <w:sz w:val="24"/>
          <w:szCs w:val="24"/>
          <w:lang w:eastAsia="zh-CN"/>
        </w:rPr>
        <w:t>。</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hint="eastAsia"/>
          <w:snapToGrid w:val="0"/>
          <w:color w:val="000000"/>
          <w:spacing w:val="-6"/>
          <w:sz w:val="24"/>
          <w:szCs w:val="24"/>
          <w:lang w:eastAsia="zh-CN"/>
        </w:rPr>
        <w:t>截</w:t>
      </w:r>
      <w:r>
        <w:rPr>
          <w:rFonts w:ascii="Times New Roman" w:eastAsia="楷体_GB2312" w:hAnsi="Times New Roman"/>
          <w:snapToGrid w:val="0"/>
          <w:color w:val="000000"/>
          <w:spacing w:val="-6"/>
          <w:sz w:val="24"/>
          <w:szCs w:val="24"/>
          <w:lang w:eastAsia="zh-CN"/>
        </w:rPr>
        <w:t>至公告日</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本基金借款余额</w:t>
      </w:r>
      <w:r>
        <w:rPr>
          <w:rFonts w:ascii="Times New Roman" w:eastAsia="楷体_GB2312" w:hAnsi="Times New Roman" w:hint="eastAsia"/>
          <w:snapToGrid w:val="0"/>
          <w:color w:val="000000"/>
          <w:spacing w:val="-6"/>
          <w:sz w:val="24"/>
          <w:szCs w:val="24"/>
          <w:lang w:eastAsia="zh-CN"/>
        </w:rPr>
        <w:t>3</w:t>
      </w:r>
      <w:r>
        <w:rPr>
          <w:rFonts w:ascii="Times New Roman" w:eastAsia="楷体_GB2312" w:hAnsi="Times New Roman"/>
          <w:snapToGrid w:val="0"/>
          <w:color w:val="000000"/>
          <w:spacing w:val="-6"/>
          <w:sz w:val="24"/>
          <w:szCs w:val="24"/>
          <w:lang w:eastAsia="zh-CN"/>
        </w:rPr>
        <w:t>0,00</w:t>
      </w:r>
      <w:r>
        <w:rPr>
          <w:rFonts w:ascii="Times New Roman" w:eastAsia="楷体_GB2312" w:hAnsi="Times New Roman"/>
          <w:snapToGrid w:val="0"/>
          <w:color w:val="000000"/>
          <w:spacing w:val="-6"/>
          <w:sz w:val="24"/>
          <w:szCs w:val="24"/>
          <w:lang w:eastAsia="zh-CN"/>
        </w:rPr>
        <w:t>0,000.00</w:t>
      </w:r>
      <w:r>
        <w:rPr>
          <w:rFonts w:ascii="Times New Roman" w:eastAsia="楷体_GB2312" w:hAnsi="Times New Roman"/>
          <w:snapToGrid w:val="0"/>
          <w:color w:val="000000"/>
          <w:spacing w:val="-6"/>
          <w:sz w:val="24"/>
          <w:szCs w:val="24"/>
          <w:lang w:eastAsia="zh-CN"/>
        </w:rPr>
        <w:t>元。本次借款前，按照本基金最新一期披露的基础设施基金总资产及基础设施基金净资产，基础设施基金总资产占基础设施基金净资产的比例约为</w:t>
      </w:r>
      <w:r>
        <w:rPr>
          <w:rFonts w:ascii="Times New Roman" w:eastAsia="楷体_GB2312" w:hAnsi="Times New Roman" w:hint="eastAsia"/>
          <w:snapToGrid w:val="0"/>
          <w:color w:val="000000"/>
          <w:spacing w:val="-6"/>
          <w:sz w:val="24"/>
          <w:szCs w:val="24"/>
          <w:lang w:eastAsia="zh-CN"/>
        </w:rPr>
        <w:t>116.30%</w:t>
      </w:r>
      <w:r>
        <w:rPr>
          <w:rFonts w:ascii="Times New Roman" w:eastAsia="楷体_GB2312" w:hAnsi="Times New Roman"/>
          <w:snapToGrid w:val="0"/>
          <w:color w:val="000000"/>
          <w:spacing w:val="-6"/>
          <w:sz w:val="24"/>
          <w:szCs w:val="24"/>
          <w:lang w:eastAsia="zh-CN"/>
        </w:rPr>
        <w:t>；本次借款后，测算基础设施基金总资产占基础设施基金净资产的比例约为</w:t>
      </w:r>
      <w:r>
        <w:rPr>
          <w:rFonts w:ascii="Times New Roman" w:eastAsia="楷体_GB2312" w:hAnsi="Times New Roman"/>
          <w:snapToGrid w:val="0"/>
          <w:color w:val="000000"/>
          <w:spacing w:val="-6"/>
          <w:sz w:val="24"/>
          <w:szCs w:val="24"/>
          <w:lang w:eastAsia="zh-CN"/>
        </w:rPr>
        <w:t>117.39%</w:t>
      </w:r>
      <w:r>
        <w:rPr>
          <w:rFonts w:ascii="Times New Roman" w:eastAsia="楷体_GB2312" w:hAnsi="Times New Roman"/>
          <w:snapToGrid w:val="0"/>
          <w:color w:val="000000"/>
          <w:spacing w:val="-6"/>
          <w:sz w:val="24"/>
          <w:szCs w:val="24"/>
          <w:lang w:eastAsia="zh-CN"/>
        </w:rPr>
        <w:t>，借款前后均未超</w:t>
      </w:r>
      <w:r>
        <w:rPr>
          <w:rFonts w:ascii="Times New Roman" w:eastAsia="楷体_GB2312" w:hAnsi="Times New Roman"/>
          <w:snapToGrid w:val="0"/>
          <w:color w:val="000000"/>
          <w:spacing w:val="-6"/>
          <w:sz w:val="24"/>
          <w:szCs w:val="24"/>
          <w:lang w:eastAsia="zh-CN"/>
        </w:rPr>
        <w:t>140%</w:t>
      </w:r>
      <w:r>
        <w:rPr>
          <w:rFonts w:ascii="Times New Roman" w:eastAsia="楷体_GB2312" w:hAnsi="Times New Roman"/>
          <w:snapToGrid w:val="0"/>
          <w:color w:val="000000"/>
          <w:spacing w:val="-6"/>
          <w:sz w:val="24"/>
          <w:szCs w:val="24"/>
          <w:lang w:eastAsia="zh-CN"/>
        </w:rPr>
        <w:t>。</w:t>
      </w:r>
    </w:p>
    <w:p w:rsidR="00000000" w:rsidRDefault="0039434F">
      <w:pPr>
        <w:pStyle w:val="a4"/>
        <w:widowControl/>
        <w:kinsoku w:val="0"/>
        <w:topLinePunct/>
        <w:adjustRightInd w:val="0"/>
        <w:snapToGrid w:val="0"/>
        <w:spacing w:before="33" w:line="235" w:lineRule="auto"/>
        <w:ind w:left="23" w:firstLine="456"/>
        <w:textAlignment w:val="baseline"/>
        <w:rPr>
          <w:rFonts w:ascii="Times New Roman" w:eastAsia="楷体_GB2312" w:hAnsi="Times New Roman"/>
          <w:b/>
          <w:bCs/>
          <w:snapToGrid w:val="0"/>
          <w:color w:val="000000"/>
          <w:spacing w:val="-6"/>
          <w:sz w:val="24"/>
          <w:szCs w:val="24"/>
          <w:lang w:eastAsia="zh-CN"/>
        </w:rPr>
      </w:pPr>
      <w:r>
        <w:rPr>
          <w:rFonts w:ascii="Times New Roman" w:eastAsia="楷体_GB2312" w:hAnsi="Times New Roman" w:hint="eastAsia"/>
          <w:b/>
          <w:bCs/>
          <w:snapToGrid w:val="0"/>
          <w:color w:val="000000"/>
          <w:spacing w:val="-6"/>
          <w:sz w:val="24"/>
          <w:szCs w:val="24"/>
          <w:lang w:eastAsia="zh-CN"/>
        </w:rPr>
        <w:t>（</w:t>
      </w:r>
      <w:r>
        <w:rPr>
          <w:rFonts w:ascii="Times New Roman" w:eastAsia="楷体_GB2312" w:hAnsi="Times New Roman" w:hint="eastAsia"/>
          <w:b/>
          <w:bCs/>
          <w:snapToGrid w:val="0"/>
          <w:color w:val="000000"/>
          <w:spacing w:val="-6"/>
          <w:sz w:val="24"/>
          <w:szCs w:val="24"/>
          <w:lang w:eastAsia="zh-CN"/>
        </w:rPr>
        <w:t>4</w:t>
      </w:r>
      <w:r>
        <w:rPr>
          <w:rFonts w:ascii="Times New Roman" w:eastAsia="楷体_GB2312" w:hAnsi="Times New Roman" w:hint="eastAsia"/>
          <w:b/>
          <w:bCs/>
          <w:snapToGrid w:val="0"/>
          <w:color w:val="000000"/>
          <w:spacing w:val="-6"/>
          <w:sz w:val="24"/>
          <w:szCs w:val="24"/>
          <w:lang w:eastAsia="zh-CN"/>
        </w:rPr>
        <w:t>）借款用途及还款安排</w:t>
      </w:r>
    </w:p>
    <w:p w:rsidR="00000000" w:rsidRDefault="0039434F">
      <w:pPr>
        <w:spacing w:line="240" w:lineRule="auto"/>
        <w:ind w:firstLine="560"/>
        <w:rPr>
          <w:rFonts w:eastAsia="楷体_GB2312"/>
          <w:snapToGrid w:val="0"/>
          <w:color w:val="000000"/>
          <w:spacing w:val="-6"/>
          <w:sz w:val="24"/>
          <w:szCs w:val="24"/>
        </w:rPr>
      </w:pPr>
      <w:r>
        <w:rPr>
          <w:rFonts w:eastAsia="楷体_GB2312"/>
          <w:snapToGrid w:val="0"/>
          <w:color w:val="000000"/>
          <w:spacing w:val="-6"/>
          <w:kern w:val="0"/>
          <w:sz w:val="24"/>
          <w:szCs w:val="24"/>
        </w:rPr>
        <w:t>本次借款主要用于补充项目公司流动资金。项目公司以已形成但尚未收到的国补应收账款债权作为还款来源，收到国补应收账款后可提前还款。对应国补应收账款受到招商银行保理业务相关约定的限制，资金到位后应及时偿还保理本金。基金管理人将</w:t>
      </w:r>
      <w:r>
        <w:rPr>
          <w:rFonts w:eastAsia="楷体_GB2312"/>
          <w:snapToGrid w:val="0"/>
          <w:color w:val="000000"/>
          <w:spacing w:val="-6"/>
          <w:kern w:val="0"/>
          <w:sz w:val="24"/>
          <w:szCs w:val="24"/>
        </w:rPr>
        <w:t>结合年度资金预算</w:t>
      </w:r>
      <w:r>
        <w:rPr>
          <w:rFonts w:eastAsia="楷体_GB2312" w:hint="eastAsia"/>
          <w:snapToGrid w:val="0"/>
          <w:color w:val="000000"/>
          <w:spacing w:val="-6"/>
          <w:kern w:val="0"/>
          <w:sz w:val="24"/>
          <w:szCs w:val="24"/>
        </w:rPr>
        <w:t>及</w:t>
      </w:r>
      <w:r>
        <w:rPr>
          <w:rFonts w:eastAsia="楷体_GB2312"/>
          <w:snapToGrid w:val="0"/>
          <w:color w:val="000000"/>
          <w:spacing w:val="-6"/>
          <w:kern w:val="0"/>
          <w:sz w:val="24"/>
          <w:szCs w:val="24"/>
        </w:rPr>
        <w:t>国补实际回款情况，统筹现金流回款周期和还款期限</w:t>
      </w:r>
      <w:r>
        <w:rPr>
          <w:rFonts w:eastAsia="楷体_GB2312" w:hint="eastAsia"/>
          <w:snapToGrid w:val="0"/>
          <w:color w:val="000000"/>
          <w:spacing w:val="-6"/>
          <w:kern w:val="0"/>
          <w:sz w:val="24"/>
          <w:szCs w:val="24"/>
        </w:rPr>
        <w:t>，合理</w:t>
      </w:r>
      <w:r>
        <w:rPr>
          <w:rFonts w:eastAsia="楷体_GB2312"/>
          <w:snapToGrid w:val="0"/>
          <w:color w:val="000000"/>
          <w:spacing w:val="-6"/>
          <w:kern w:val="0"/>
          <w:sz w:val="24"/>
          <w:szCs w:val="24"/>
        </w:rPr>
        <w:t>安排还款，避免发生违约风险。</w:t>
      </w:r>
    </w:p>
    <w:p w:rsidR="00000000" w:rsidRDefault="0039434F">
      <w:pPr>
        <w:pStyle w:val="a4"/>
        <w:widowControl/>
        <w:kinsoku w:val="0"/>
        <w:topLinePunct/>
        <w:adjustRightInd w:val="0"/>
        <w:snapToGrid w:val="0"/>
        <w:spacing w:before="33" w:line="235" w:lineRule="auto"/>
        <w:ind w:left="0" w:firstLineChars="200" w:firstLine="482"/>
        <w:textAlignment w:val="baseline"/>
        <w:rPr>
          <w:rFonts w:ascii="Times New Roman" w:eastAsia="楷体_GB2312" w:hAnsi="Times New Roman"/>
          <w:b/>
          <w:bCs/>
          <w:snapToGrid w:val="0"/>
          <w:color w:val="000000"/>
          <w:sz w:val="24"/>
          <w:szCs w:val="24"/>
          <w:lang w:eastAsia="zh-CN"/>
        </w:rPr>
      </w:pPr>
      <w:r>
        <w:rPr>
          <w:rFonts w:ascii="Times New Roman" w:eastAsia="楷体_GB2312" w:hAnsi="Times New Roman" w:hint="eastAsia"/>
          <w:b/>
          <w:bCs/>
          <w:snapToGrid w:val="0"/>
          <w:color w:val="000000"/>
          <w:sz w:val="24"/>
          <w:szCs w:val="24"/>
          <w:lang w:eastAsia="zh-CN"/>
        </w:rPr>
        <w:t>四</w:t>
      </w:r>
      <w:r>
        <w:rPr>
          <w:rFonts w:ascii="Times New Roman" w:eastAsia="楷体_GB2312" w:hAnsi="Times New Roman"/>
          <w:b/>
          <w:bCs/>
          <w:snapToGrid w:val="0"/>
          <w:color w:val="000000"/>
          <w:sz w:val="24"/>
          <w:szCs w:val="24"/>
          <w:lang w:eastAsia="zh-CN"/>
        </w:rPr>
        <w:t>、</w:t>
      </w:r>
      <w:r>
        <w:rPr>
          <w:rFonts w:ascii="Times New Roman" w:eastAsia="楷体_GB2312" w:hAnsi="Times New Roman"/>
          <w:b/>
          <w:bCs/>
          <w:snapToGrid w:val="0"/>
          <w:color w:val="000000"/>
          <w:sz w:val="24"/>
          <w:szCs w:val="24"/>
          <w:lang w:eastAsia="zh-CN"/>
        </w:rPr>
        <w:t>借款必要性、</w:t>
      </w:r>
      <w:r>
        <w:rPr>
          <w:rFonts w:ascii="Times New Roman" w:eastAsia="楷体_GB2312" w:hAnsi="Times New Roman"/>
          <w:b/>
          <w:bCs/>
          <w:snapToGrid w:val="0"/>
          <w:color w:val="000000"/>
          <w:sz w:val="24"/>
          <w:szCs w:val="24"/>
          <w:lang w:eastAsia="zh-CN"/>
        </w:rPr>
        <w:t>对基础设施基金可供分配现金流及基金份额持有人的影响分析</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本次借款与《保理融资安排临时公告》披露的相关安排一致。本基金国补应收账款回款账期存在不确定性，进行保理融资业务安排可平滑基金存续期内的现金流，缓释现金流回款不及预期的风险，</w:t>
      </w:r>
      <w:r>
        <w:rPr>
          <w:rFonts w:ascii="Times New Roman" w:eastAsia="楷体_GB2312" w:hAnsi="Times New Roman"/>
          <w:snapToGrid w:val="0"/>
          <w:color w:val="000000"/>
          <w:spacing w:val="-6"/>
          <w:sz w:val="24"/>
          <w:szCs w:val="24"/>
          <w:lang w:eastAsia="zh-CN"/>
        </w:rPr>
        <w:t>保障本基金年度可供分配金额、现金分派率平稳，</w:t>
      </w:r>
      <w:r>
        <w:rPr>
          <w:rFonts w:ascii="Times New Roman" w:eastAsia="楷体_GB2312" w:hAnsi="Times New Roman"/>
          <w:snapToGrid w:val="0"/>
          <w:color w:val="000000"/>
          <w:spacing w:val="-6"/>
          <w:sz w:val="24"/>
          <w:szCs w:val="24"/>
          <w:lang w:eastAsia="zh-CN"/>
        </w:rPr>
        <w:t>对基金份额持有人权益具有积极影响。</w:t>
      </w:r>
    </w:p>
    <w:p w:rsidR="00000000" w:rsidRDefault="0039434F">
      <w:pPr>
        <w:pStyle w:val="a4"/>
        <w:widowControl/>
        <w:topLinePunct/>
        <w:adjustRightInd w:val="0"/>
        <w:snapToGrid w:val="0"/>
        <w:spacing w:before="33" w:line="235" w:lineRule="auto"/>
        <w:ind w:left="0" w:firstLineChars="200" w:firstLine="458"/>
        <w:textAlignment w:val="baseline"/>
        <w:rPr>
          <w:rFonts w:ascii="Times New Roman" w:eastAsia="楷体_GB2312" w:hAnsi="Times New Roman"/>
          <w:b/>
          <w:bCs/>
          <w:snapToGrid w:val="0"/>
          <w:color w:val="000000"/>
          <w:spacing w:val="-6"/>
          <w:sz w:val="24"/>
          <w:szCs w:val="24"/>
          <w:lang w:eastAsia="zh-CN"/>
        </w:rPr>
      </w:pPr>
      <w:r>
        <w:rPr>
          <w:rFonts w:ascii="Times New Roman" w:eastAsia="楷体_GB2312" w:hAnsi="Times New Roman" w:hint="eastAsia"/>
          <w:b/>
          <w:bCs/>
          <w:snapToGrid w:val="0"/>
          <w:color w:val="000000"/>
          <w:spacing w:val="-6"/>
          <w:sz w:val="24"/>
          <w:szCs w:val="24"/>
          <w:lang w:eastAsia="zh-CN"/>
        </w:rPr>
        <w:t>五</w:t>
      </w:r>
      <w:r>
        <w:rPr>
          <w:rFonts w:ascii="Times New Roman" w:eastAsia="楷体_GB2312" w:hAnsi="Times New Roman"/>
          <w:b/>
          <w:bCs/>
          <w:snapToGrid w:val="0"/>
          <w:color w:val="000000"/>
          <w:spacing w:val="-6"/>
          <w:sz w:val="24"/>
          <w:szCs w:val="24"/>
          <w:lang w:eastAsia="zh-CN"/>
        </w:rPr>
        <w:t>、相关机构联系方式</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如有疑问，投资者可登录基金管理人网站（</w:t>
      </w:r>
      <w:r>
        <w:rPr>
          <w:rFonts w:ascii="Times New Roman" w:eastAsia="楷体_GB2312" w:hAnsi="Times New Roman"/>
          <w:snapToGrid w:val="0"/>
          <w:color w:val="000000"/>
          <w:spacing w:val="-6"/>
          <w:sz w:val="24"/>
          <w:szCs w:val="24"/>
          <w:lang w:eastAsia="zh-CN"/>
        </w:rPr>
        <w:t>www.avicfund.c</w:t>
      </w:r>
      <w:r>
        <w:rPr>
          <w:rFonts w:ascii="Times New Roman" w:eastAsia="楷体_GB2312" w:hAnsi="Times New Roman"/>
          <w:snapToGrid w:val="0"/>
          <w:color w:val="000000"/>
          <w:spacing w:val="-6"/>
          <w:sz w:val="24"/>
          <w:szCs w:val="24"/>
          <w:lang w:eastAsia="zh-CN"/>
        </w:rPr>
        <w:t>n</w:t>
      </w:r>
      <w:r>
        <w:rPr>
          <w:rFonts w:ascii="Times New Roman" w:eastAsia="楷体_GB2312" w:hAnsi="Times New Roman"/>
          <w:snapToGrid w:val="0"/>
          <w:color w:val="000000"/>
          <w:spacing w:val="-6"/>
          <w:sz w:val="24"/>
          <w:szCs w:val="24"/>
          <w:lang w:eastAsia="zh-CN"/>
        </w:rPr>
        <w:t>）、拨打基金管理人客户服务电话（</w:t>
      </w:r>
      <w:r>
        <w:rPr>
          <w:rFonts w:ascii="Times New Roman" w:eastAsia="楷体_GB2312" w:hAnsi="Times New Roman"/>
          <w:snapToGrid w:val="0"/>
          <w:color w:val="000000"/>
          <w:spacing w:val="-6"/>
          <w:sz w:val="24"/>
          <w:szCs w:val="24"/>
          <w:lang w:eastAsia="zh-CN"/>
        </w:rPr>
        <w:t>400-666-2186</w:t>
      </w:r>
      <w:r>
        <w:rPr>
          <w:rFonts w:ascii="Times New Roman" w:eastAsia="楷体_GB2312" w:hAnsi="Times New Roman"/>
          <w:snapToGrid w:val="0"/>
          <w:color w:val="000000"/>
          <w:spacing w:val="-6"/>
          <w:sz w:val="24"/>
          <w:szCs w:val="24"/>
          <w:lang w:eastAsia="zh-CN"/>
        </w:rPr>
        <w:t>）或发送邮件至</w:t>
      </w:r>
      <w:r>
        <w:rPr>
          <w:rFonts w:ascii="Times New Roman" w:eastAsia="楷体_GB2312" w:hAnsi="Times New Roman"/>
          <w:snapToGrid w:val="0"/>
          <w:color w:val="000000"/>
          <w:spacing w:val="-6"/>
          <w:sz w:val="24"/>
          <w:szCs w:val="24"/>
          <w:lang w:eastAsia="zh-CN"/>
        </w:rPr>
        <w:t>IR_REITs@avicfund.cn</w:t>
      </w:r>
      <w:r>
        <w:rPr>
          <w:rFonts w:ascii="Times New Roman" w:eastAsia="楷体_GB2312" w:hAnsi="Times New Roman"/>
          <w:snapToGrid w:val="0"/>
          <w:color w:val="000000"/>
          <w:spacing w:val="-6"/>
          <w:sz w:val="24"/>
          <w:szCs w:val="24"/>
          <w:lang w:eastAsia="zh-CN"/>
        </w:rPr>
        <w:t>了解、咨询有关详情。</w:t>
      </w:r>
    </w:p>
    <w:p w:rsidR="00000000" w:rsidRDefault="0039434F">
      <w:pPr>
        <w:pStyle w:val="a4"/>
        <w:widowControl/>
        <w:kinsoku w:val="0"/>
        <w:topLinePunct/>
        <w:adjustRightInd w:val="0"/>
        <w:snapToGrid w:val="0"/>
        <w:spacing w:before="33" w:line="235" w:lineRule="auto"/>
        <w:ind w:left="23" w:firstLine="456"/>
        <w:textAlignment w:val="baseline"/>
        <w:rPr>
          <w:rFonts w:ascii="Times New Roman" w:eastAsia="楷体_GB2312" w:hAnsi="Times New Roman"/>
          <w:b/>
          <w:bCs/>
          <w:snapToGrid w:val="0"/>
          <w:color w:val="000000"/>
          <w:spacing w:val="-6"/>
          <w:sz w:val="24"/>
          <w:szCs w:val="24"/>
          <w:lang w:eastAsia="zh-CN"/>
        </w:rPr>
      </w:pPr>
      <w:r>
        <w:rPr>
          <w:rFonts w:ascii="Times New Roman" w:eastAsia="楷体_GB2312" w:hAnsi="Times New Roman" w:hint="eastAsia"/>
          <w:b/>
          <w:bCs/>
          <w:snapToGrid w:val="0"/>
          <w:color w:val="000000"/>
          <w:spacing w:val="-6"/>
          <w:sz w:val="24"/>
          <w:szCs w:val="24"/>
          <w:lang w:eastAsia="zh-CN"/>
        </w:rPr>
        <w:t>六</w:t>
      </w:r>
      <w:r>
        <w:rPr>
          <w:rFonts w:ascii="Times New Roman" w:eastAsia="楷体_GB2312" w:hAnsi="Times New Roman"/>
          <w:b/>
          <w:bCs/>
          <w:snapToGrid w:val="0"/>
          <w:color w:val="000000"/>
          <w:spacing w:val="-6"/>
          <w:sz w:val="24"/>
          <w:szCs w:val="24"/>
          <w:lang w:eastAsia="zh-CN"/>
        </w:rPr>
        <w:t>、风险提示</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截至目前，本基金投资运作正常，无应披露而未披露的重大信息，基金管理人将严格按照法律法规及基金合同的规定进行投资运作，履行信息披露义务。</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lastRenderedPageBreak/>
        <w:t>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买者自负</w:t>
      </w:r>
      <w:r>
        <w:rPr>
          <w:rFonts w:ascii="Times New Roman" w:eastAsia="楷体_GB2312" w:hAnsi="Times New Roman" w:hint="eastAsia"/>
          <w:snapToGrid w:val="0"/>
          <w:color w:val="000000"/>
          <w:spacing w:val="-6"/>
          <w:sz w:val="24"/>
          <w:szCs w:val="24"/>
          <w:lang w:eastAsia="zh-CN"/>
        </w:rPr>
        <w:t>”</w:t>
      </w:r>
      <w:r>
        <w:rPr>
          <w:rFonts w:ascii="Times New Roman" w:eastAsia="楷体_GB2312" w:hAnsi="Times New Roman"/>
          <w:snapToGrid w:val="0"/>
          <w:color w:val="000000"/>
          <w:spacing w:val="-6"/>
          <w:sz w:val="24"/>
          <w:szCs w:val="24"/>
          <w:lang w:eastAsia="zh-CN"/>
        </w:rPr>
        <w:t>原则，在做出投资决策后，基金运营状况</w:t>
      </w:r>
      <w:r>
        <w:rPr>
          <w:rFonts w:ascii="Times New Roman" w:eastAsia="楷体_GB2312" w:hAnsi="Times New Roman"/>
          <w:snapToGrid w:val="0"/>
          <w:color w:val="000000"/>
          <w:spacing w:val="-6"/>
          <w:sz w:val="24"/>
          <w:szCs w:val="24"/>
          <w:lang w:eastAsia="zh-CN"/>
        </w:rPr>
        <w:t>与基金净值变化引致的投资风险，由投资者自行负担。销售机构根据法规要求对投资者类别、风险承受能力和基金的风险等级进行划分，并提出适当性匹配意见。投资者在投资本基金前，应当认真阅读本基金基金合同、招募说明书及其更新、基金产品资料概要等法律文件，全面认识本基金的风险收益特征和产品特性，在了解产品情况及销售机构适当性意见的基础上，根据自身的投资目标、投资期限、投资经验、资产状况等判断基金是否和自身风险承受能力相适应，理性判断市场，自主判断基金投资价值，自主、谨慎做出投资决策，并自行承担投资风险。</w:t>
      </w:r>
    </w:p>
    <w:p w:rsidR="00000000" w:rsidRDefault="0039434F">
      <w:pPr>
        <w:pStyle w:val="a4"/>
        <w:widowControl/>
        <w:kinsoku w:val="0"/>
        <w:topLinePunct/>
        <w:adjustRightInd w:val="0"/>
        <w:snapToGrid w:val="0"/>
        <w:spacing w:before="33" w:line="235" w:lineRule="auto"/>
        <w:ind w:left="23" w:firstLine="456"/>
        <w:jc w:val="both"/>
        <w:textAlignment w:val="baseline"/>
        <w:rPr>
          <w:rFonts w:ascii="Times New Roman" w:eastAsia="楷体_GB2312" w:hAnsi="Times New Roman"/>
          <w:snapToGrid w:val="0"/>
          <w:color w:val="000000"/>
          <w:spacing w:val="-6"/>
          <w:sz w:val="24"/>
          <w:szCs w:val="24"/>
          <w:lang w:eastAsia="zh-CN"/>
        </w:rPr>
      </w:pPr>
      <w:r>
        <w:rPr>
          <w:rFonts w:ascii="Times New Roman" w:eastAsia="楷体_GB2312" w:hAnsi="Times New Roman"/>
          <w:snapToGrid w:val="0"/>
          <w:color w:val="000000"/>
          <w:spacing w:val="-6"/>
          <w:sz w:val="24"/>
          <w:szCs w:val="24"/>
          <w:lang w:eastAsia="zh-CN"/>
        </w:rPr>
        <w:t>特此公告。</w:t>
      </w:r>
    </w:p>
    <w:p w:rsidR="00000000" w:rsidRDefault="0039434F">
      <w:pPr>
        <w:pStyle w:val="a4"/>
        <w:widowControl/>
        <w:kinsoku w:val="0"/>
        <w:topLinePunct/>
        <w:adjustRightInd w:val="0"/>
        <w:snapToGrid w:val="0"/>
        <w:spacing w:before="33" w:line="235" w:lineRule="auto"/>
        <w:ind w:left="23" w:firstLine="456"/>
        <w:textAlignment w:val="baseline"/>
        <w:rPr>
          <w:rFonts w:ascii="Times New Roman" w:eastAsia="楷体_GB2312" w:hAnsi="Times New Roman"/>
          <w:snapToGrid w:val="0"/>
          <w:color w:val="000000"/>
          <w:spacing w:val="-6"/>
          <w:sz w:val="24"/>
          <w:szCs w:val="24"/>
          <w:lang w:eastAsia="zh-CN"/>
        </w:rPr>
      </w:pPr>
    </w:p>
    <w:p w:rsidR="00000000" w:rsidRDefault="0039434F">
      <w:pPr>
        <w:pStyle w:val="a4"/>
        <w:widowControl/>
        <w:kinsoku w:val="0"/>
        <w:topLinePunct/>
        <w:adjustRightInd w:val="0"/>
        <w:snapToGrid w:val="0"/>
        <w:spacing w:before="33" w:line="235" w:lineRule="auto"/>
        <w:ind w:left="23" w:firstLine="456"/>
        <w:textAlignment w:val="baseline"/>
        <w:rPr>
          <w:rFonts w:ascii="Times New Roman" w:eastAsia="楷体_GB2312" w:hAnsi="Times New Roman"/>
          <w:snapToGrid w:val="0"/>
          <w:color w:val="000000"/>
          <w:spacing w:val="-6"/>
          <w:sz w:val="24"/>
          <w:szCs w:val="24"/>
          <w:lang w:eastAsia="zh-CN"/>
        </w:rPr>
      </w:pPr>
    </w:p>
    <w:p w:rsidR="00000000" w:rsidRDefault="0039434F">
      <w:pPr>
        <w:widowControl/>
        <w:kinsoku w:val="0"/>
        <w:topLinePunct/>
        <w:adjustRightInd w:val="0"/>
        <w:snapToGrid w:val="0"/>
        <w:spacing w:before="78" w:line="631" w:lineRule="exact"/>
        <w:ind w:right="9"/>
        <w:jc w:val="right"/>
        <w:textAlignment w:val="baseline"/>
        <w:rPr>
          <w:rFonts w:eastAsia="楷体_GB2312"/>
          <w:snapToGrid w:val="0"/>
          <w:color w:val="000000"/>
          <w:kern w:val="0"/>
          <w:sz w:val="24"/>
          <w:szCs w:val="24"/>
          <w:lang w:eastAsia="en-US"/>
        </w:rPr>
      </w:pPr>
      <w:r>
        <w:rPr>
          <w:rFonts w:eastAsia="楷体_GB2312"/>
          <w:snapToGrid w:val="0"/>
          <w:color w:val="000000"/>
          <w:spacing w:val="-4"/>
          <w:kern w:val="0"/>
          <w:position w:val="30"/>
          <w:sz w:val="24"/>
          <w:szCs w:val="24"/>
          <w:lang w:eastAsia="en-US"/>
        </w:rPr>
        <w:t>中</w:t>
      </w:r>
      <w:r>
        <w:rPr>
          <w:rFonts w:eastAsia="楷体_GB2312"/>
          <w:snapToGrid w:val="0"/>
          <w:color w:val="000000"/>
          <w:spacing w:val="-4"/>
          <w:kern w:val="0"/>
          <w:position w:val="30"/>
          <w:sz w:val="24"/>
          <w:szCs w:val="24"/>
          <w:lang w:eastAsia="en-US"/>
        </w:rPr>
        <w:t>航基金管理有限公司</w:t>
      </w:r>
    </w:p>
    <w:p w:rsidR="00000000" w:rsidRDefault="0039434F">
      <w:pPr>
        <w:widowControl/>
        <w:kinsoku w:val="0"/>
        <w:topLinePunct/>
        <w:adjustRightInd w:val="0"/>
        <w:snapToGrid w:val="0"/>
        <w:spacing w:line="217" w:lineRule="auto"/>
        <w:jc w:val="right"/>
        <w:textAlignment w:val="baseline"/>
        <w:rPr>
          <w:rFonts w:eastAsia="楷体_GB2312"/>
          <w:snapToGrid w:val="0"/>
          <w:color w:val="000000"/>
          <w:kern w:val="0"/>
          <w:sz w:val="24"/>
          <w:szCs w:val="24"/>
          <w:lang w:eastAsia="en-US"/>
        </w:rPr>
      </w:pPr>
      <w:r>
        <w:rPr>
          <w:rFonts w:eastAsia="楷体_GB2312"/>
          <w:snapToGrid w:val="0"/>
          <w:color w:val="000000"/>
          <w:spacing w:val="-11"/>
          <w:kern w:val="0"/>
          <w:sz w:val="24"/>
          <w:szCs w:val="24"/>
          <w:lang w:eastAsia="en-US"/>
        </w:rPr>
        <w:t>202</w:t>
      </w:r>
      <w:r>
        <w:rPr>
          <w:rFonts w:eastAsia="楷体_GB2312" w:hint="eastAsia"/>
          <w:snapToGrid w:val="0"/>
          <w:color w:val="000000"/>
          <w:spacing w:val="-11"/>
          <w:kern w:val="0"/>
          <w:sz w:val="24"/>
          <w:szCs w:val="24"/>
        </w:rPr>
        <w:t>5</w:t>
      </w:r>
      <w:r>
        <w:rPr>
          <w:rFonts w:eastAsia="楷体_GB2312"/>
          <w:snapToGrid w:val="0"/>
          <w:color w:val="000000"/>
          <w:spacing w:val="-11"/>
          <w:kern w:val="0"/>
          <w:sz w:val="24"/>
          <w:szCs w:val="24"/>
          <w:lang w:eastAsia="en-US"/>
        </w:rPr>
        <w:t>年</w:t>
      </w:r>
      <w:r>
        <w:rPr>
          <w:rFonts w:eastAsia="楷体_GB2312"/>
          <w:snapToGrid w:val="0"/>
          <w:color w:val="000000"/>
          <w:spacing w:val="-11"/>
          <w:kern w:val="0"/>
          <w:sz w:val="24"/>
          <w:szCs w:val="24"/>
        </w:rPr>
        <w:t>1</w:t>
      </w:r>
      <w:r>
        <w:rPr>
          <w:rFonts w:eastAsia="楷体_GB2312"/>
          <w:snapToGrid w:val="0"/>
          <w:color w:val="000000"/>
          <w:spacing w:val="-11"/>
          <w:kern w:val="0"/>
          <w:sz w:val="24"/>
          <w:szCs w:val="24"/>
        </w:rPr>
        <w:t>2</w:t>
      </w:r>
      <w:r>
        <w:rPr>
          <w:rFonts w:eastAsia="楷体_GB2312"/>
          <w:snapToGrid w:val="0"/>
          <w:color w:val="000000"/>
          <w:spacing w:val="-11"/>
          <w:kern w:val="0"/>
          <w:sz w:val="24"/>
          <w:szCs w:val="24"/>
          <w:lang w:eastAsia="en-US"/>
        </w:rPr>
        <w:t>月</w:t>
      </w:r>
      <w:r>
        <w:rPr>
          <w:rFonts w:eastAsia="楷体_GB2312" w:hint="eastAsia"/>
          <w:snapToGrid w:val="0"/>
          <w:color w:val="000000"/>
          <w:spacing w:val="-11"/>
          <w:kern w:val="0"/>
          <w:sz w:val="24"/>
          <w:szCs w:val="24"/>
        </w:rPr>
        <w:t>27</w:t>
      </w:r>
      <w:r>
        <w:rPr>
          <w:rFonts w:eastAsia="楷体_GB2312"/>
          <w:snapToGrid w:val="0"/>
          <w:color w:val="000000"/>
          <w:spacing w:val="-11"/>
          <w:kern w:val="0"/>
          <w:sz w:val="24"/>
          <w:szCs w:val="24"/>
          <w:lang w:eastAsia="en-US"/>
        </w:rPr>
        <w:t>日</w:t>
      </w:r>
    </w:p>
    <w:p w:rsidR="00000000" w:rsidRDefault="0039434F">
      <w:pPr>
        <w:pStyle w:val="a4"/>
        <w:widowControl/>
        <w:kinsoku w:val="0"/>
        <w:topLinePunct/>
        <w:adjustRightInd w:val="0"/>
        <w:snapToGrid w:val="0"/>
        <w:spacing w:before="33" w:line="235" w:lineRule="auto"/>
        <w:ind w:left="23" w:firstLine="456"/>
        <w:textAlignment w:val="baseline"/>
        <w:rPr>
          <w:rFonts w:ascii="Times New Roman" w:eastAsia="楷体_GB2312" w:hAnsi="Times New Roman"/>
          <w:snapToGrid w:val="0"/>
          <w:color w:val="000000"/>
          <w:spacing w:val="-6"/>
          <w:sz w:val="24"/>
          <w:szCs w:val="24"/>
          <w:lang w:eastAsia="zh-CN"/>
        </w:rPr>
      </w:pPr>
    </w:p>
    <w:sectPr w:rsidR="00000000">
      <w:headerReference w:type="even" r:id="rId6"/>
      <w:footerReference w:type="even" r:id="rId7"/>
      <w:footerReference w:type="default" r:id="rId8"/>
      <w:headerReference w:type="first" r:id="rId9"/>
      <w:footerReference w:type="first" r:id="rId10"/>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9434F">
      <w:pPr>
        <w:spacing w:line="240" w:lineRule="auto"/>
      </w:pPr>
      <w:r>
        <w:separator/>
      </w:r>
    </w:p>
  </w:endnote>
  <w:endnote w:type="continuationSeparator" w:id="0">
    <w:p w:rsidR="00000000" w:rsidRDefault="003943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default"/>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3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34F">
    <w:pPr>
      <w:pStyle w:val="a5"/>
      <w:jc w:val="center"/>
      <w:rPr>
        <w:rFonts w:hint="eastAsia"/>
      </w:rPr>
    </w:pPr>
  </w:p>
  <w:p w:rsidR="00000000" w:rsidRDefault="0039434F">
    <w:pPr>
      <w:pStyle w:val="a5"/>
      <w:jc w:val="center"/>
      <w:rPr>
        <w:rFonts w:hint="eastAsia"/>
      </w:rPr>
    </w:pPr>
    <w: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7728;mso-wrap-style:none;mso-position-horizontal:center;mso-position-horizontal-relative:margin;v-text-anchor:top"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filled="f" stroked="f">
          <v:fill o:detectmouseclick="t"/>
          <v:textbox style="mso-fit-shape-to-text:t" inset="0,0,0,0">
            <w:txbxContent>
              <w:p w:rsidR="00000000" w:rsidRDefault="0039434F">
                <w:pPr>
                  <w:pStyle w:val="a5"/>
                  <w:jc w:val="center"/>
                </w:pPr>
                <w:r>
                  <w:fldChar w:fldCharType="begin"/>
                </w:r>
                <w:r>
                  <w:instrText>PAGE   \* MERGEFORMAT</w:instrText>
                </w:r>
                <w:r>
                  <w:fldChar w:fldCharType="separate"/>
                </w:r>
                <w:r w:rsidRPr="0039434F">
                  <w:rPr>
                    <w:noProof/>
                    <w:lang w:val="zh-CN"/>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3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9434F">
      <w:pPr>
        <w:spacing w:line="240" w:lineRule="auto"/>
      </w:pPr>
      <w:r>
        <w:separator/>
      </w:r>
    </w:p>
  </w:footnote>
  <w:footnote w:type="continuationSeparator" w:id="0">
    <w:p w:rsidR="00000000" w:rsidRDefault="0039434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34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9434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QxNWIyZjlmMjJjNTJmNDkxZWU5MzM2YjQzOGQyYTkifQ=="/>
  </w:docVars>
  <w:rsids>
    <w:rsidRoot w:val="00172A27"/>
    <w:rsid w:val="000845BB"/>
    <w:rsid w:val="000B30A8"/>
    <w:rsid w:val="000B62CA"/>
    <w:rsid w:val="000D31F2"/>
    <w:rsid w:val="00166438"/>
    <w:rsid w:val="00186A80"/>
    <w:rsid w:val="001A1769"/>
    <w:rsid w:val="001A5F75"/>
    <w:rsid w:val="001E07BA"/>
    <w:rsid w:val="00205B24"/>
    <w:rsid w:val="002119D9"/>
    <w:rsid w:val="002631D3"/>
    <w:rsid w:val="002A50E5"/>
    <w:rsid w:val="00330F7E"/>
    <w:rsid w:val="00346615"/>
    <w:rsid w:val="00353DE7"/>
    <w:rsid w:val="00381795"/>
    <w:rsid w:val="0039434F"/>
    <w:rsid w:val="003A0FBF"/>
    <w:rsid w:val="003A477C"/>
    <w:rsid w:val="003D21B2"/>
    <w:rsid w:val="003D73E2"/>
    <w:rsid w:val="003E171E"/>
    <w:rsid w:val="003F4206"/>
    <w:rsid w:val="004257E3"/>
    <w:rsid w:val="00430555"/>
    <w:rsid w:val="004366B8"/>
    <w:rsid w:val="00465333"/>
    <w:rsid w:val="00476129"/>
    <w:rsid w:val="00526555"/>
    <w:rsid w:val="0054098C"/>
    <w:rsid w:val="00562E22"/>
    <w:rsid w:val="00592EC0"/>
    <w:rsid w:val="005A2848"/>
    <w:rsid w:val="005E13CA"/>
    <w:rsid w:val="005E1D17"/>
    <w:rsid w:val="005F7E58"/>
    <w:rsid w:val="006308AF"/>
    <w:rsid w:val="006341E2"/>
    <w:rsid w:val="00637727"/>
    <w:rsid w:val="006539BE"/>
    <w:rsid w:val="00667198"/>
    <w:rsid w:val="00667D04"/>
    <w:rsid w:val="006A5DFD"/>
    <w:rsid w:val="006A742E"/>
    <w:rsid w:val="006B16A9"/>
    <w:rsid w:val="006B274B"/>
    <w:rsid w:val="006D67BA"/>
    <w:rsid w:val="0070550A"/>
    <w:rsid w:val="00710CCF"/>
    <w:rsid w:val="007657B6"/>
    <w:rsid w:val="0079414E"/>
    <w:rsid w:val="00796349"/>
    <w:rsid w:val="007B3202"/>
    <w:rsid w:val="00841B96"/>
    <w:rsid w:val="00863525"/>
    <w:rsid w:val="00876F5D"/>
    <w:rsid w:val="009016B4"/>
    <w:rsid w:val="00921B32"/>
    <w:rsid w:val="00932E1F"/>
    <w:rsid w:val="00950D8B"/>
    <w:rsid w:val="00953CEF"/>
    <w:rsid w:val="00961A67"/>
    <w:rsid w:val="00993689"/>
    <w:rsid w:val="009B06E3"/>
    <w:rsid w:val="009B2AB2"/>
    <w:rsid w:val="00A013FC"/>
    <w:rsid w:val="00A029BA"/>
    <w:rsid w:val="00A0317E"/>
    <w:rsid w:val="00A37B2E"/>
    <w:rsid w:val="00A42EE1"/>
    <w:rsid w:val="00A5069B"/>
    <w:rsid w:val="00A877B3"/>
    <w:rsid w:val="00AC4947"/>
    <w:rsid w:val="00AC7AEF"/>
    <w:rsid w:val="00AE22E6"/>
    <w:rsid w:val="00B260B1"/>
    <w:rsid w:val="00B44882"/>
    <w:rsid w:val="00BC47C0"/>
    <w:rsid w:val="00BC4FE6"/>
    <w:rsid w:val="00BE0C45"/>
    <w:rsid w:val="00BF073A"/>
    <w:rsid w:val="00BF27D0"/>
    <w:rsid w:val="00C32F2C"/>
    <w:rsid w:val="00C32F51"/>
    <w:rsid w:val="00C71BD8"/>
    <w:rsid w:val="00C81947"/>
    <w:rsid w:val="00C81D71"/>
    <w:rsid w:val="00CC5173"/>
    <w:rsid w:val="00D05FDC"/>
    <w:rsid w:val="00D17D19"/>
    <w:rsid w:val="00D224BF"/>
    <w:rsid w:val="00D56875"/>
    <w:rsid w:val="00D8131B"/>
    <w:rsid w:val="00DA5B8F"/>
    <w:rsid w:val="00DB7833"/>
    <w:rsid w:val="00DC0AD5"/>
    <w:rsid w:val="00E20294"/>
    <w:rsid w:val="00E546F6"/>
    <w:rsid w:val="00E703B3"/>
    <w:rsid w:val="00EC76E8"/>
    <w:rsid w:val="00ED0F35"/>
    <w:rsid w:val="00F04875"/>
    <w:rsid w:val="00F05C03"/>
    <w:rsid w:val="00F25B90"/>
    <w:rsid w:val="00F640DB"/>
    <w:rsid w:val="00F817B6"/>
    <w:rsid w:val="00FA267A"/>
    <w:rsid w:val="00FB3B5E"/>
    <w:rsid w:val="00FB737E"/>
    <w:rsid w:val="00FE060F"/>
    <w:rsid w:val="012D6EB4"/>
    <w:rsid w:val="01D6474A"/>
    <w:rsid w:val="0248BBC9"/>
    <w:rsid w:val="02D84BF3"/>
    <w:rsid w:val="03603933"/>
    <w:rsid w:val="037B371D"/>
    <w:rsid w:val="03EC0539"/>
    <w:rsid w:val="03F17003"/>
    <w:rsid w:val="04080D11"/>
    <w:rsid w:val="04F10E52"/>
    <w:rsid w:val="05790023"/>
    <w:rsid w:val="060B2546"/>
    <w:rsid w:val="06830AAF"/>
    <w:rsid w:val="07A22BB8"/>
    <w:rsid w:val="0830A64F"/>
    <w:rsid w:val="08E744CC"/>
    <w:rsid w:val="090DE011"/>
    <w:rsid w:val="096C5023"/>
    <w:rsid w:val="097457AE"/>
    <w:rsid w:val="0A3C1D1D"/>
    <w:rsid w:val="0A3DFE7F"/>
    <w:rsid w:val="0A52651C"/>
    <w:rsid w:val="0B1A1A6E"/>
    <w:rsid w:val="0B513BD6"/>
    <w:rsid w:val="0C02031B"/>
    <w:rsid w:val="0C02D56D"/>
    <w:rsid w:val="0E51151D"/>
    <w:rsid w:val="0F102FA9"/>
    <w:rsid w:val="0F7C3FF9"/>
    <w:rsid w:val="107C35DD"/>
    <w:rsid w:val="12282FB7"/>
    <w:rsid w:val="147A559F"/>
    <w:rsid w:val="14C10E56"/>
    <w:rsid w:val="14CB1F85"/>
    <w:rsid w:val="150844AE"/>
    <w:rsid w:val="152B22BF"/>
    <w:rsid w:val="15330CEF"/>
    <w:rsid w:val="155129AC"/>
    <w:rsid w:val="16804887"/>
    <w:rsid w:val="17142414"/>
    <w:rsid w:val="17D3BACC"/>
    <w:rsid w:val="181F8D83"/>
    <w:rsid w:val="18B22E4F"/>
    <w:rsid w:val="195E6023"/>
    <w:rsid w:val="19758F36"/>
    <w:rsid w:val="198600A7"/>
    <w:rsid w:val="19BD5342"/>
    <w:rsid w:val="1BCFB35D"/>
    <w:rsid w:val="1C387059"/>
    <w:rsid w:val="1CC09F67"/>
    <w:rsid w:val="1D13631D"/>
    <w:rsid w:val="1D1A2EFC"/>
    <w:rsid w:val="1E943D67"/>
    <w:rsid w:val="20756722"/>
    <w:rsid w:val="20BA3665"/>
    <w:rsid w:val="21221225"/>
    <w:rsid w:val="2234120F"/>
    <w:rsid w:val="227124A9"/>
    <w:rsid w:val="22C95DFC"/>
    <w:rsid w:val="22CA7B04"/>
    <w:rsid w:val="230C3F3A"/>
    <w:rsid w:val="231F6ABA"/>
    <w:rsid w:val="237331D3"/>
    <w:rsid w:val="23757720"/>
    <w:rsid w:val="238A36DB"/>
    <w:rsid w:val="2390175F"/>
    <w:rsid w:val="2435C477"/>
    <w:rsid w:val="2463583A"/>
    <w:rsid w:val="24F704A9"/>
    <w:rsid w:val="25817EBE"/>
    <w:rsid w:val="260C52BE"/>
    <w:rsid w:val="264D2417"/>
    <w:rsid w:val="279D1605"/>
    <w:rsid w:val="27B5694E"/>
    <w:rsid w:val="29B58D7D"/>
    <w:rsid w:val="29BF2FD6"/>
    <w:rsid w:val="2A102783"/>
    <w:rsid w:val="2A5C3A91"/>
    <w:rsid w:val="2B8C7B40"/>
    <w:rsid w:val="2C3420E9"/>
    <w:rsid w:val="2CA9BB5C"/>
    <w:rsid w:val="2DF359C2"/>
    <w:rsid w:val="2E08E83F"/>
    <w:rsid w:val="2E611AA8"/>
    <w:rsid w:val="2E93211F"/>
    <w:rsid w:val="304B42F4"/>
    <w:rsid w:val="31637F95"/>
    <w:rsid w:val="319EEE1A"/>
    <w:rsid w:val="31A50C9F"/>
    <w:rsid w:val="326E2CEC"/>
    <w:rsid w:val="328D270F"/>
    <w:rsid w:val="32BD0DAD"/>
    <w:rsid w:val="330E785B"/>
    <w:rsid w:val="332DD4F1"/>
    <w:rsid w:val="333B1B82"/>
    <w:rsid w:val="33414381"/>
    <w:rsid w:val="334A59ED"/>
    <w:rsid w:val="33AF1D4A"/>
    <w:rsid w:val="33BB2863"/>
    <w:rsid w:val="33DC10B6"/>
    <w:rsid w:val="353136E8"/>
    <w:rsid w:val="36F8F22D"/>
    <w:rsid w:val="375458D3"/>
    <w:rsid w:val="37BB657C"/>
    <w:rsid w:val="37C01F55"/>
    <w:rsid w:val="382D0856"/>
    <w:rsid w:val="38673C9E"/>
    <w:rsid w:val="399834B9"/>
    <w:rsid w:val="39A62CC0"/>
    <w:rsid w:val="39B1532D"/>
    <w:rsid w:val="3B897B39"/>
    <w:rsid w:val="3BC466D9"/>
    <w:rsid w:val="3C1501F4"/>
    <w:rsid w:val="3C4C2C59"/>
    <w:rsid w:val="3C7D98C1"/>
    <w:rsid w:val="3C8C1E3A"/>
    <w:rsid w:val="3D204412"/>
    <w:rsid w:val="3D625333"/>
    <w:rsid w:val="3D6763D5"/>
    <w:rsid w:val="3D6E0D16"/>
    <w:rsid w:val="3E0A3234"/>
    <w:rsid w:val="3E382ADD"/>
    <w:rsid w:val="3F8B41E8"/>
    <w:rsid w:val="3F9722B6"/>
    <w:rsid w:val="3F9D8749"/>
    <w:rsid w:val="3FF4FB6E"/>
    <w:rsid w:val="403AD0AD"/>
    <w:rsid w:val="4249168A"/>
    <w:rsid w:val="43A07735"/>
    <w:rsid w:val="44213A47"/>
    <w:rsid w:val="44680681"/>
    <w:rsid w:val="46B46844"/>
    <w:rsid w:val="471D59A1"/>
    <w:rsid w:val="47AA3C03"/>
    <w:rsid w:val="47C013DE"/>
    <w:rsid w:val="481A2EF0"/>
    <w:rsid w:val="4867305B"/>
    <w:rsid w:val="48E829AC"/>
    <w:rsid w:val="49612303"/>
    <w:rsid w:val="499D6ED5"/>
    <w:rsid w:val="49E86A9E"/>
    <w:rsid w:val="4A110FF4"/>
    <w:rsid w:val="4AD978D9"/>
    <w:rsid w:val="4B491961"/>
    <w:rsid w:val="4BE2486D"/>
    <w:rsid w:val="4BFA6684"/>
    <w:rsid w:val="4C6A33BF"/>
    <w:rsid w:val="4CC254E6"/>
    <w:rsid w:val="4D166DE1"/>
    <w:rsid w:val="4D3F08E5"/>
    <w:rsid w:val="4D812CAB"/>
    <w:rsid w:val="4DE05ABF"/>
    <w:rsid w:val="4EF15447"/>
    <w:rsid w:val="4F974CFD"/>
    <w:rsid w:val="50B92439"/>
    <w:rsid w:val="50D23444"/>
    <w:rsid w:val="51DD7717"/>
    <w:rsid w:val="527C31C6"/>
    <w:rsid w:val="5292239A"/>
    <w:rsid w:val="529EA023"/>
    <w:rsid w:val="52CCECB8"/>
    <w:rsid w:val="54CF7420"/>
    <w:rsid w:val="565E643D"/>
    <w:rsid w:val="566E687C"/>
    <w:rsid w:val="56F461D8"/>
    <w:rsid w:val="574E4907"/>
    <w:rsid w:val="57601466"/>
    <w:rsid w:val="5A403C0F"/>
    <w:rsid w:val="5A5249B1"/>
    <w:rsid w:val="5B503831"/>
    <w:rsid w:val="5B8058C6"/>
    <w:rsid w:val="5BE47DD7"/>
    <w:rsid w:val="5C72DD65"/>
    <w:rsid w:val="5C944872"/>
    <w:rsid w:val="5CFE27E3"/>
    <w:rsid w:val="5DA92D02"/>
    <w:rsid w:val="5DB5C2A4"/>
    <w:rsid w:val="5F5E7DC1"/>
    <w:rsid w:val="5F694299"/>
    <w:rsid w:val="5FA40A7B"/>
    <w:rsid w:val="5FA52F14"/>
    <w:rsid w:val="60F6897E"/>
    <w:rsid w:val="6101E476"/>
    <w:rsid w:val="61F25ACE"/>
    <w:rsid w:val="61F5075D"/>
    <w:rsid w:val="62D66ABD"/>
    <w:rsid w:val="66A66EEF"/>
    <w:rsid w:val="67431673"/>
    <w:rsid w:val="67A71109"/>
    <w:rsid w:val="67FD243E"/>
    <w:rsid w:val="683BCEE1"/>
    <w:rsid w:val="691F0866"/>
    <w:rsid w:val="69C60FC8"/>
    <w:rsid w:val="6A510F7A"/>
    <w:rsid w:val="6AFC176B"/>
    <w:rsid w:val="6B6468D1"/>
    <w:rsid w:val="6B927388"/>
    <w:rsid w:val="6BE02E3B"/>
    <w:rsid w:val="6C3A017B"/>
    <w:rsid w:val="6D03259D"/>
    <w:rsid w:val="6D3B2878"/>
    <w:rsid w:val="6D4D4161"/>
    <w:rsid w:val="6D585714"/>
    <w:rsid w:val="6DC9A7A1"/>
    <w:rsid w:val="6E1E333A"/>
    <w:rsid w:val="6E663ACB"/>
    <w:rsid w:val="6E9CF933"/>
    <w:rsid w:val="6FA757C5"/>
    <w:rsid w:val="70F07C35"/>
    <w:rsid w:val="71390F1A"/>
    <w:rsid w:val="71B231D3"/>
    <w:rsid w:val="71CA5B61"/>
    <w:rsid w:val="728E35F1"/>
    <w:rsid w:val="72F378F8"/>
    <w:rsid w:val="73011B3E"/>
    <w:rsid w:val="73C372CA"/>
    <w:rsid w:val="74420D55"/>
    <w:rsid w:val="746B6700"/>
    <w:rsid w:val="74E35CAA"/>
    <w:rsid w:val="75877129"/>
    <w:rsid w:val="75C36F43"/>
    <w:rsid w:val="75FF68C0"/>
    <w:rsid w:val="76292F91"/>
    <w:rsid w:val="764FF299"/>
    <w:rsid w:val="77C72D11"/>
    <w:rsid w:val="785F3220"/>
    <w:rsid w:val="795ECC60"/>
    <w:rsid w:val="79AC6370"/>
    <w:rsid w:val="79DC2123"/>
    <w:rsid w:val="79DE7E7D"/>
    <w:rsid w:val="79E96318"/>
    <w:rsid w:val="7B1315F2"/>
    <w:rsid w:val="7B4E6DDA"/>
    <w:rsid w:val="7B8019A2"/>
    <w:rsid w:val="7BA07EF1"/>
    <w:rsid w:val="7C1B6752"/>
    <w:rsid w:val="7C490BD9"/>
    <w:rsid w:val="7C574CE7"/>
    <w:rsid w:val="7D14725F"/>
    <w:rsid w:val="7DD370DF"/>
    <w:rsid w:val="7E1A54D4"/>
    <w:rsid w:val="7EFE0D94"/>
    <w:rsid w:val="7F1B233A"/>
    <w:rsid w:val="7F2D245E"/>
    <w:rsid w:val="7F32198B"/>
    <w:rsid w:val="81ED20BD"/>
    <w:rsid w:val="8316054D"/>
    <w:rsid w:val="85E1C684"/>
    <w:rsid w:val="86A1CC52"/>
    <w:rsid w:val="8A2005A2"/>
    <w:rsid w:val="91BBB3E5"/>
    <w:rsid w:val="9642D458"/>
    <w:rsid w:val="9CDF6CA0"/>
    <w:rsid w:val="9FF33AC6"/>
    <w:rsid w:val="A3DD87CC"/>
    <w:rsid w:val="AA54FF6F"/>
    <w:rsid w:val="B00ECA36"/>
    <w:rsid w:val="B0676FFB"/>
    <w:rsid w:val="B18B9D48"/>
    <w:rsid w:val="B1D958E0"/>
    <w:rsid w:val="B70C46D1"/>
    <w:rsid w:val="B8B07104"/>
    <w:rsid w:val="BAE38265"/>
    <w:rsid w:val="BB8A7E83"/>
    <w:rsid w:val="BB9985DF"/>
    <w:rsid w:val="BCF0FCA9"/>
    <w:rsid w:val="BE2B3B85"/>
    <w:rsid w:val="C41A7009"/>
    <w:rsid w:val="C6AE7CC8"/>
    <w:rsid w:val="CA6D5D21"/>
    <w:rsid w:val="CF027350"/>
    <w:rsid w:val="D12CFE07"/>
    <w:rsid w:val="D188035C"/>
    <w:rsid w:val="D1ED4195"/>
    <w:rsid w:val="D7427AC8"/>
    <w:rsid w:val="D7961C4D"/>
    <w:rsid w:val="DF91398A"/>
    <w:rsid w:val="E0676C67"/>
    <w:rsid w:val="E07CCBB0"/>
    <w:rsid w:val="E324B763"/>
    <w:rsid w:val="E54431DD"/>
    <w:rsid w:val="E6275C4D"/>
    <w:rsid w:val="E6977B7E"/>
    <w:rsid w:val="EC0BDC8C"/>
    <w:rsid w:val="ED556964"/>
    <w:rsid w:val="EFF8E71C"/>
    <w:rsid w:val="F1BFE743"/>
    <w:rsid w:val="F2F5EBE6"/>
    <w:rsid w:val="F606D71F"/>
    <w:rsid w:val="FA4AC586"/>
    <w:rsid w:val="FAFE064F"/>
    <w:rsid w:val="FD3D95AD"/>
    <w:rsid w:val="FD5BF2AE"/>
    <w:rsid w:val="FEF5EE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jc w:val="both"/>
    </w:pPr>
    <w:rPr>
      <w:rFonts w:eastAsia="仿宋_GB2312"/>
      <w:kern w:val="2"/>
      <w:sz w:val="32"/>
      <w:szCs w:val="22"/>
    </w:rPr>
  </w:style>
  <w:style w:type="paragraph" w:styleId="1">
    <w:name w:val="heading 1"/>
    <w:basedOn w:val="a"/>
    <w:next w:val="a"/>
    <w:link w:val="1Char"/>
    <w:qFormat/>
    <w:pPr>
      <w:keepNext/>
      <w:keepLines/>
      <w:spacing w:line="640" w:lineRule="exact"/>
      <w:ind w:firstLineChars="200" w:firstLine="200"/>
      <w:outlineLvl w:val="0"/>
    </w:pPr>
    <w:rPr>
      <w:rFonts w:eastAsia="黑体"/>
      <w:bCs/>
      <w:kern w:val="44"/>
      <w:szCs w:val="44"/>
    </w:rPr>
  </w:style>
  <w:style w:type="paragraph" w:styleId="2">
    <w:name w:val="heading 2"/>
    <w:basedOn w:val="a"/>
    <w:next w:val="a"/>
    <w:link w:val="2Char"/>
    <w:qFormat/>
    <w:pPr>
      <w:keepNext/>
      <w:keepLines/>
      <w:spacing w:line="640" w:lineRule="exact"/>
      <w:outlineLvl w:val="1"/>
    </w:pPr>
    <w:rPr>
      <w:rFonts w:ascii="等线 Light" w:eastAsia="楷体_GB2312" w:hAnsi="等线 Light"/>
      <w:b/>
      <w:bCs/>
      <w:szCs w:val="32"/>
    </w:rPr>
  </w:style>
  <w:style w:type="character" w:default="1" w:styleId="a0">
    <w:name w:val="Default Paragraph Font"/>
    <w:qFormat/>
    <w:rPr>
      <w:rFonts w:ascii="Times New Roman" w:eastAsia="宋体" w:hAnsi="Times New Roman" w:cs="Times New Roman"/>
    </w:rPr>
  </w:style>
  <w:style w:type="table" w:default="1" w:styleId="a1">
    <w:name w:val="Normal Table"/>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Times New Roman" w:eastAsia="黑体" w:hAnsi="Times New Roman" w:cs="Times New Roman"/>
      <w:bCs/>
      <w:kern w:val="44"/>
      <w:sz w:val="32"/>
      <w:szCs w:val="44"/>
    </w:rPr>
  </w:style>
  <w:style w:type="character" w:customStyle="1" w:styleId="2Char">
    <w:name w:val="标题 2 Char"/>
    <w:link w:val="2"/>
    <w:qFormat/>
    <w:rPr>
      <w:rFonts w:ascii="等线 Light" w:eastAsia="楷体_GB2312" w:hAnsi="等线 Light" w:cs="Times New Roman"/>
      <w:b/>
      <w:bCs/>
      <w:sz w:val="32"/>
      <w:szCs w:val="32"/>
    </w:rPr>
  </w:style>
  <w:style w:type="paragraph" w:styleId="a3">
    <w:name w:val="annotation text"/>
    <w:basedOn w:val="a"/>
    <w:link w:val="Char"/>
    <w:qFormat/>
    <w:pPr>
      <w:jc w:val="left"/>
    </w:pPr>
    <w:rPr>
      <w:rFonts w:eastAsia="宋体"/>
    </w:rPr>
  </w:style>
  <w:style w:type="character" w:customStyle="1" w:styleId="Char">
    <w:name w:val="批注文字 Char"/>
    <w:link w:val="a3"/>
    <w:qFormat/>
    <w:rPr>
      <w:rFonts w:ascii="Times New Roman" w:eastAsia="宋体" w:hAnsi="Times New Roman" w:cs="Times New Roman"/>
      <w:kern w:val="2"/>
      <w:sz w:val="32"/>
      <w:szCs w:val="22"/>
    </w:rPr>
  </w:style>
  <w:style w:type="paragraph" w:styleId="a4">
    <w:name w:val="Body Text"/>
    <w:basedOn w:val="a"/>
    <w:link w:val="Char0"/>
    <w:qFormat/>
    <w:pPr>
      <w:spacing w:before="137" w:line="240" w:lineRule="auto"/>
      <w:ind w:left="221"/>
      <w:jc w:val="left"/>
    </w:pPr>
    <w:rPr>
      <w:rFonts w:ascii="宋体" w:eastAsia="宋体" w:hAnsi="宋体"/>
      <w:kern w:val="0"/>
      <w:sz w:val="21"/>
      <w:szCs w:val="21"/>
      <w:lang w:eastAsia="en-US"/>
    </w:rPr>
  </w:style>
  <w:style w:type="character" w:customStyle="1" w:styleId="Char0">
    <w:name w:val="正文文本 Char"/>
    <w:link w:val="a4"/>
    <w:qFormat/>
    <w:rPr>
      <w:rFonts w:ascii="宋体" w:eastAsia="宋体" w:hAnsi="宋体" w:cs="Times New Roman"/>
      <w:kern w:val="0"/>
      <w:szCs w:val="21"/>
      <w:lang w:eastAsia="en-US"/>
    </w:rPr>
  </w:style>
  <w:style w:type="paragraph" w:styleId="a5">
    <w:name w:val="footer"/>
    <w:basedOn w:val="a"/>
    <w:link w:val="Char1"/>
    <w:uiPriority w:val="99"/>
    <w:qFormat/>
    <w:pPr>
      <w:tabs>
        <w:tab w:val="center" w:pos="4153"/>
        <w:tab w:val="right" w:pos="8306"/>
      </w:tabs>
      <w:snapToGrid w:val="0"/>
      <w:jc w:val="left"/>
    </w:pPr>
    <w:rPr>
      <w:rFonts w:eastAsia="宋体"/>
      <w:sz w:val="18"/>
      <w:szCs w:val="18"/>
    </w:rPr>
  </w:style>
  <w:style w:type="character" w:customStyle="1" w:styleId="Char1">
    <w:name w:val="页脚 Char"/>
    <w:link w:val="a5"/>
    <w:uiPriority w:val="99"/>
    <w:qFormat/>
    <w:rPr>
      <w:rFonts w:ascii="Times New Roman" w:eastAsia="宋体" w:hAnsi="Times New Roman" w:cs="Times New Roman"/>
      <w:sz w:val="18"/>
      <w:szCs w:val="18"/>
    </w:rPr>
  </w:style>
  <w:style w:type="paragraph" w:styleId="a6">
    <w:name w:val="header"/>
    <w:basedOn w:val="a"/>
    <w:link w:val="Char2"/>
    <w:qFormat/>
    <w:pPr>
      <w:tabs>
        <w:tab w:val="center" w:pos="4153"/>
        <w:tab w:val="right" w:pos="8306"/>
      </w:tabs>
      <w:snapToGrid w:val="0"/>
      <w:spacing w:line="240" w:lineRule="atLeast"/>
      <w:jc w:val="center"/>
    </w:pPr>
    <w:rPr>
      <w:rFonts w:eastAsia="宋体"/>
      <w:sz w:val="18"/>
      <w:szCs w:val="18"/>
    </w:rPr>
  </w:style>
  <w:style w:type="character" w:customStyle="1" w:styleId="Char2">
    <w:name w:val="页眉 Char"/>
    <w:link w:val="a6"/>
    <w:qFormat/>
    <w:rPr>
      <w:rFonts w:ascii="Times New Roman" w:eastAsia="仿宋_GB2312" w:hAnsi="Times New Roman" w:cs="Times New Roman"/>
      <w:sz w:val="18"/>
      <w:szCs w:val="18"/>
    </w:rPr>
  </w:style>
  <w:style w:type="paragraph" w:styleId="a7">
    <w:name w:val="footnote text"/>
    <w:basedOn w:val="a"/>
    <w:qFormat/>
    <w:pPr>
      <w:snapToGrid w:val="0"/>
      <w:jc w:val="left"/>
    </w:pPr>
    <w:rPr>
      <w:rFonts w:eastAsia="宋体"/>
      <w:sz w:val="18"/>
    </w:rPr>
  </w:style>
  <w:style w:type="paragraph" w:styleId="a8">
    <w:name w:val="Title"/>
    <w:basedOn w:val="a"/>
    <w:next w:val="a"/>
    <w:link w:val="Char3"/>
    <w:qFormat/>
    <w:pPr>
      <w:ind w:firstLineChars="200" w:firstLine="200"/>
      <w:outlineLvl w:val="0"/>
    </w:pPr>
    <w:rPr>
      <w:rFonts w:ascii="等线 Light" w:eastAsia="楷体" w:hAnsi="等线 Light"/>
      <w:b/>
      <w:bCs/>
      <w:sz w:val="30"/>
      <w:szCs w:val="32"/>
    </w:rPr>
  </w:style>
  <w:style w:type="character" w:customStyle="1" w:styleId="Char3">
    <w:name w:val="标题 Char"/>
    <w:link w:val="a8"/>
    <w:qFormat/>
    <w:rPr>
      <w:rFonts w:ascii="等线 Light" w:eastAsia="楷体" w:hAnsi="等线 Light" w:cs="Times New Roman"/>
      <w:b/>
      <w:bCs/>
      <w:sz w:val="30"/>
      <w:szCs w:val="32"/>
    </w:rPr>
  </w:style>
  <w:style w:type="paragraph" w:styleId="a9">
    <w:name w:val="annotation subject"/>
    <w:basedOn w:val="a3"/>
    <w:next w:val="a3"/>
    <w:link w:val="Char4"/>
    <w:qFormat/>
    <w:rPr>
      <w:rFonts w:eastAsia="仿宋_GB2312"/>
      <w:b/>
      <w:bCs/>
    </w:rPr>
  </w:style>
  <w:style w:type="character" w:customStyle="1" w:styleId="Char4">
    <w:name w:val="批注主题 Char"/>
    <w:link w:val="a9"/>
    <w:qFormat/>
    <w:rPr>
      <w:rFonts w:ascii="Times New Roman" w:eastAsia="仿宋_GB2312" w:hAnsi="Times New Roman" w:cs="Times New Roman"/>
      <w:b/>
      <w:bCs/>
      <w:kern w:val="2"/>
      <w:sz w:val="32"/>
      <w:szCs w:val="22"/>
    </w:rPr>
  </w:style>
  <w:style w:type="character" w:styleId="aa">
    <w:name w:val="annotation reference"/>
    <w:qFormat/>
    <w:rPr>
      <w:rFonts w:ascii="Times New Roman" w:eastAsia="宋体" w:hAnsi="Times New Roman" w:cs="Times New Roman"/>
      <w:sz w:val="21"/>
      <w:szCs w:val="21"/>
    </w:rPr>
  </w:style>
  <w:style w:type="character" w:styleId="ab">
    <w:name w:val="footnote reference"/>
    <w:qFormat/>
    <w:rPr>
      <w:rFonts w:ascii="Times New Roman" w:eastAsia="宋体" w:hAnsi="Times New Roman" w:cs="Times New Roman"/>
      <w:vertAlign w:val="superscript"/>
    </w:rPr>
  </w:style>
  <w:style w:type="table" w:customStyle="1" w:styleId="TableNormal">
    <w:name w:val="Table Normal"/>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Paragraph">
    <w:name w:val="Table Paragraph"/>
    <w:basedOn w:val="a"/>
    <w:qFormat/>
    <w:pPr>
      <w:spacing w:line="257" w:lineRule="exact"/>
      <w:ind w:left="108"/>
      <w:jc w:val="center"/>
    </w:pPr>
    <w:rPr>
      <w:rFonts w:ascii="等线" w:eastAsia="等线" w:hAnsi="等线"/>
      <w:kern w:val="0"/>
      <w:sz w:val="22"/>
      <w:lang w:eastAsia="en-US"/>
    </w:rPr>
  </w:style>
  <w:style w:type="paragraph" w:customStyle="1" w:styleId="10">
    <w:name w:val="修订1"/>
    <w:qFormat/>
    <w:rPr>
      <w:rFonts w:eastAsia="仿宋_GB2312"/>
      <w:kern w:val="2"/>
      <w:sz w:val="32"/>
      <w:szCs w:val="22"/>
    </w:rPr>
  </w:style>
  <w:style w:type="paragraph" w:customStyle="1" w:styleId="20">
    <w:name w:val="修订2"/>
    <w:qFormat/>
    <w:rPr>
      <w:rFonts w:eastAsia="仿宋_GB2312"/>
      <w:kern w:val="2"/>
      <w:sz w:val="32"/>
      <w:szCs w:val="22"/>
    </w:rPr>
  </w:style>
  <w:style w:type="paragraph" w:customStyle="1" w:styleId="Revision">
    <w:name w:val="Revision"/>
    <w:qFormat/>
    <w:rPr>
      <w:rFonts w:eastAsia="仿宋_GB2312"/>
      <w:kern w:val="2"/>
      <w:sz w:val="32"/>
      <w:szCs w:val="22"/>
    </w:rPr>
  </w:style>
  <w:style w:type="paragraph" w:customStyle="1" w:styleId="Char5">
    <w:name w:val="普通(网站) Char"/>
    <w:basedOn w:val="a"/>
    <w:qFormat/>
    <w:pPr>
      <w:spacing w:before="100" w:beforeAutospacing="1" w:after="100" w:afterAutospacing="1"/>
      <w:jc w:val="left"/>
    </w:pPr>
    <w:rPr>
      <w:rFonts w:ascii="宋体" w:eastAsia="宋体" w:hAnsi="宋体" w:hint="eastAsia"/>
      <w:kern w:val="0"/>
      <w:sz w:val="24"/>
      <w:szCs w:val="24"/>
    </w:rPr>
  </w:style>
  <w:style w:type="paragraph" w:customStyle="1" w:styleId="Style28">
    <w:name w:val="_Style 28"/>
    <w:uiPriority w:val="99"/>
    <w:unhideWhenUsed/>
    <w:qFormat/>
    <w:rPr>
      <w:rFonts w:eastAsia="仿宋_GB2312"/>
      <w:kern w:val="2"/>
      <w:sz w:val="3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2198</Characters>
  <Application>Microsoft Office Word</Application>
  <DocSecurity>4</DocSecurity>
  <Lines>18</Lines>
  <Paragraphs>5</Paragraphs>
  <ScaleCrop>false</ScaleCrop>
  <Company>CNSTOCK</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应伟 汪</dc:creator>
  <cp:keywords/>
  <cp:lastModifiedBy>ZHONGM</cp:lastModifiedBy>
  <cp:revision>2</cp:revision>
  <cp:lastPrinted>2024-03-25T07:53:00Z</cp:lastPrinted>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7F03AEDD7D8C48489D209840A41FF243_13</vt:lpwstr>
  </property>
  <property fmtid="{D5CDD505-2E9C-101B-9397-08002B2CF9AE}" pid="4" name="KSOTemplateDocerSaveRecord">
    <vt:lpwstr>eyJoZGlkIjoiNjQxNjRjMDcwNzNlYTE3MGQxMDNmMjBkY2RkYzdkNWIiLCJ1c2VySWQiOiI0MTQ2NDQyNDgifQ==</vt:lpwstr>
  </property>
</Properties>
</file>