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AD" w:rsidRDefault="001024EE">
      <w:pPr>
        <w:tabs>
          <w:tab w:val="left" w:pos="10440"/>
        </w:tabs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Start w:id="1" w:name="OLE_LINK1"/>
      <w:bookmarkEnd w:id="0"/>
      <w:r>
        <w:rPr>
          <w:rFonts w:hAnsi="宋体" w:cs="宋体" w:hint="eastAsia"/>
          <w:b/>
          <w:bCs/>
          <w:color w:val="000000"/>
          <w:sz w:val="24"/>
          <w:szCs w:val="24"/>
        </w:rPr>
        <w:t>华夏基金管理有限公司关于旗下基金投资非公开发行股票的公告</w:t>
      </w:r>
      <w:bookmarkEnd w:id="1"/>
    </w:p>
    <w:p w:rsidR="005669AD" w:rsidRDefault="005669AD">
      <w:pPr>
        <w:tabs>
          <w:tab w:val="left" w:pos="10440"/>
        </w:tabs>
        <w:spacing w:line="360" w:lineRule="auto"/>
        <w:ind w:firstLineChars="200" w:firstLine="482"/>
        <w:jc w:val="center"/>
        <w:rPr>
          <w:b/>
          <w:bCs/>
          <w:color w:val="000000"/>
          <w:sz w:val="24"/>
          <w:szCs w:val="24"/>
        </w:rPr>
      </w:pPr>
    </w:p>
    <w:p w:rsidR="005669AD" w:rsidRDefault="001024EE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华夏基金管理有限公司（以下简称“本公司”）旗下基金参加了江苏华海诚科新材料股份有限公司（证券简称：华海诚科，代码：</w:t>
      </w:r>
      <w:r>
        <w:rPr>
          <w:rFonts w:hint="eastAsia"/>
          <w:sz w:val="24"/>
          <w:szCs w:val="24"/>
        </w:rPr>
        <w:t>688535</w:t>
      </w:r>
      <w:r>
        <w:rPr>
          <w:rFonts w:hint="eastAsia"/>
          <w:sz w:val="24"/>
          <w:szCs w:val="24"/>
        </w:rPr>
        <w:t>）非公开发</w:t>
      </w:r>
      <w:r>
        <w:rPr>
          <w:sz w:val="24"/>
          <w:szCs w:val="24"/>
        </w:rPr>
        <w:t>行</w:t>
      </w:r>
      <w:r>
        <w:rPr>
          <w:sz w:val="24"/>
          <w:szCs w:val="24"/>
        </w:rPr>
        <w:t>A</w:t>
      </w:r>
      <w:r>
        <w:rPr>
          <w:sz w:val="24"/>
          <w:szCs w:val="24"/>
        </w:rPr>
        <w:t>股股票的认购。根据中国证监会《关于基金投资非公开发行股票等流通受限证券有关问题的通知》等有关规定，本公司现将旗下公募基金投资</w:t>
      </w:r>
      <w:r>
        <w:rPr>
          <w:rFonts w:hint="eastAsia"/>
          <w:sz w:val="24"/>
          <w:szCs w:val="24"/>
        </w:rPr>
        <w:t>华海诚科</w:t>
      </w:r>
      <w:r>
        <w:rPr>
          <w:sz w:val="24"/>
          <w:szCs w:val="24"/>
        </w:rPr>
        <w:t>本次非公开发行</w:t>
      </w:r>
      <w:r>
        <w:rPr>
          <w:sz w:val="24"/>
          <w:szCs w:val="24"/>
        </w:rPr>
        <w:t>A</w:t>
      </w:r>
      <w:r>
        <w:rPr>
          <w:sz w:val="24"/>
          <w:szCs w:val="24"/>
        </w:rPr>
        <w:t>股</w:t>
      </w:r>
      <w:r>
        <w:rPr>
          <w:rFonts w:hint="eastAsia"/>
          <w:sz w:val="24"/>
          <w:szCs w:val="24"/>
        </w:rPr>
        <w:t>股票的相关信息公告如下：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117"/>
        <w:gridCol w:w="1070"/>
        <w:gridCol w:w="1923"/>
        <w:gridCol w:w="993"/>
        <w:gridCol w:w="1701"/>
        <w:gridCol w:w="992"/>
        <w:gridCol w:w="1276"/>
      </w:tblGrid>
      <w:tr w:rsidR="005669AD" w:rsidTr="006C6D6C">
        <w:tc>
          <w:tcPr>
            <w:tcW w:w="1560" w:type="dxa"/>
            <w:vAlign w:val="center"/>
          </w:tcPr>
          <w:p w:rsidR="005669AD" w:rsidRDefault="001024EE">
            <w:pPr>
              <w:jc w:val="center"/>
            </w:pPr>
            <w:bookmarkStart w:id="2" w:name="OLE_LINK17"/>
            <w:bookmarkStart w:id="3" w:name="OLE_LINK18"/>
            <w:r>
              <w:rPr>
                <w:rFonts w:hint="eastAsia"/>
              </w:rPr>
              <w:t>基金</w:t>
            </w:r>
          </w:p>
          <w:p w:rsidR="005669AD" w:rsidRDefault="001024E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17" w:type="dxa"/>
            <w:vAlign w:val="center"/>
          </w:tcPr>
          <w:p w:rsidR="005669AD" w:rsidRDefault="001024EE">
            <w:pPr>
              <w:jc w:val="center"/>
            </w:pPr>
            <w:r>
              <w:rPr>
                <w:rFonts w:hint="eastAsia"/>
              </w:rPr>
              <w:t>证券名称</w:t>
            </w:r>
          </w:p>
        </w:tc>
        <w:tc>
          <w:tcPr>
            <w:tcW w:w="1070" w:type="dxa"/>
            <w:vAlign w:val="center"/>
          </w:tcPr>
          <w:p w:rsidR="005669AD" w:rsidRDefault="001024EE">
            <w:pPr>
              <w:jc w:val="center"/>
            </w:pPr>
            <w:r>
              <w:rPr>
                <w:rFonts w:hint="eastAsia"/>
              </w:rPr>
              <w:t>认购数量</w:t>
            </w:r>
          </w:p>
          <w:p w:rsidR="005669AD" w:rsidRDefault="001024EE">
            <w:pPr>
              <w:jc w:val="center"/>
            </w:pPr>
            <w:r>
              <w:rPr>
                <w:rFonts w:hint="eastAsia"/>
              </w:rPr>
              <w:t>（股）</w:t>
            </w:r>
          </w:p>
        </w:tc>
        <w:tc>
          <w:tcPr>
            <w:tcW w:w="1923" w:type="dxa"/>
            <w:vAlign w:val="center"/>
          </w:tcPr>
          <w:p w:rsidR="005669AD" w:rsidRDefault="001024EE">
            <w:pPr>
              <w:jc w:val="center"/>
            </w:pPr>
            <w:r>
              <w:rPr>
                <w:rFonts w:hint="eastAsia"/>
              </w:rPr>
              <w:t>总成本</w:t>
            </w:r>
          </w:p>
          <w:p w:rsidR="005669AD" w:rsidRDefault="001024EE">
            <w:pPr>
              <w:jc w:val="center"/>
            </w:pPr>
            <w:r>
              <w:rPr>
                <w:rFonts w:hint="eastAsia"/>
              </w:rPr>
              <w:t>（元）</w:t>
            </w:r>
          </w:p>
        </w:tc>
        <w:tc>
          <w:tcPr>
            <w:tcW w:w="993" w:type="dxa"/>
            <w:vAlign w:val="center"/>
          </w:tcPr>
          <w:p w:rsidR="005669AD" w:rsidRDefault="001024EE">
            <w:pPr>
              <w:jc w:val="center"/>
            </w:pPr>
            <w:r>
              <w:rPr>
                <w:rFonts w:hint="eastAsia"/>
              </w:rPr>
              <w:t>总成本占基金资产净值比例</w:t>
            </w:r>
          </w:p>
        </w:tc>
        <w:tc>
          <w:tcPr>
            <w:tcW w:w="1701" w:type="dxa"/>
            <w:vAlign w:val="center"/>
          </w:tcPr>
          <w:p w:rsidR="005669AD" w:rsidRDefault="001024EE">
            <w:pPr>
              <w:jc w:val="center"/>
            </w:pPr>
            <w:r>
              <w:rPr>
                <w:rFonts w:hint="eastAsia"/>
              </w:rPr>
              <w:t>账面价值</w:t>
            </w:r>
          </w:p>
          <w:p w:rsidR="005669AD" w:rsidRDefault="001024EE">
            <w:pPr>
              <w:jc w:val="center"/>
            </w:pPr>
            <w:r>
              <w:rPr>
                <w:rFonts w:hint="eastAsia"/>
              </w:rPr>
              <w:t>（元）</w:t>
            </w:r>
          </w:p>
        </w:tc>
        <w:tc>
          <w:tcPr>
            <w:tcW w:w="992" w:type="dxa"/>
            <w:vAlign w:val="center"/>
          </w:tcPr>
          <w:p w:rsidR="005669AD" w:rsidRDefault="001024EE">
            <w:pPr>
              <w:jc w:val="center"/>
            </w:pPr>
            <w:r>
              <w:rPr>
                <w:rFonts w:hint="eastAsia"/>
              </w:rPr>
              <w:t>账面价值占基金资产净值比例</w:t>
            </w:r>
          </w:p>
        </w:tc>
        <w:tc>
          <w:tcPr>
            <w:tcW w:w="1276" w:type="dxa"/>
            <w:vAlign w:val="center"/>
          </w:tcPr>
          <w:p w:rsidR="005669AD" w:rsidRDefault="001024EE">
            <w:pPr>
              <w:jc w:val="center"/>
            </w:pPr>
            <w:r>
              <w:rPr>
                <w:rFonts w:hint="eastAsia"/>
              </w:rPr>
              <w:t>限售期</w:t>
            </w:r>
          </w:p>
        </w:tc>
      </w:tr>
      <w:tr w:rsidR="00934BF5">
        <w:tc>
          <w:tcPr>
            <w:tcW w:w="1560" w:type="dxa"/>
            <w:vAlign w:val="center"/>
          </w:tcPr>
          <w:p w:rsidR="00934BF5" w:rsidRDefault="0068392F">
            <w:pPr>
              <w:jc w:val="left"/>
            </w:pPr>
            <w:r>
              <w:t>华夏磐泰混合型证券投资基金（</w:t>
            </w:r>
            <w:r>
              <w:t>LOF</w:t>
            </w:r>
            <w:r>
              <w:t>）</w:t>
            </w:r>
          </w:p>
        </w:tc>
        <w:tc>
          <w:tcPr>
            <w:tcW w:w="1117" w:type="dxa"/>
            <w:vAlign w:val="center"/>
          </w:tcPr>
          <w:p w:rsidR="00934BF5" w:rsidRDefault="0068392F">
            <w:pPr>
              <w:jc w:val="left"/>
            </w:pPr>
            <w:r>
              <w:t>华海诚科</w:t>
            </w:r>
          </w:p>
        </w:tc>
        <w:tc>
          <w:tcPr>
            <w:tcW w:w="1070" w:type="dxa"/>
            <w:vAlign w:val="center"/>
          </w:tcPr>
          <w:p w:rsidR="00934BF5" w:rsidRDefault="0068392F">
            <w:pPr>
              <w:jc w:val="right"/>
            </w:pPr>
            <w:r>
              <w:t>85,367</w:t>
            </w:r>
          </w:p>
        </w:tc>
        <w:tc>
          <w:tcPr>
            <w:tcW w:w="1923" w:type="dxa"/>
            <w:vAlign w:val="center"/>
          </w:tcPr>
          <w:p w:rsidR="00934BF5" w:rsidRDefault="0068392F">
            <w:pPr>
              <w:jc w:val="right"/>
            </w:pPr>
            <w:r>
              <w:t>7,099,973.39</w:t>
            </w:r>
          </w:p>
        </w:tc>
        <w:tc>
          <w:tcPr>
            <w:tcW w:w="993" w:type="dxa"/>
            <w:vAlign w:val="center"/>
          </w:tcPr>
          <w:p w:rsidR="00934BF5" w:rsidRDefault="0068392F">
            <w:pPr>
              <w:jc w:val="right"/>
            </w:pPr>
            <w:r>
              <w:t>0.21%</w:t>
            </w:r>
          </w:p>
        </w:tc>
        <w:tc>
          <w:tcPr>
            <w:tcW w:w="1701" w:type="dxa"/>
            <w:vAlign w:val="center"/>
          </w:tcPr>
          <w:p w:rsidR="00934BF5" w:rsidRDefault="0068392F">
            <w:pPr>
              <w:jc w:val="right"/>
            </w:pPr>
            <w:r>
              <w:t>9,061,707.05</w:t>
            </w:r>
          </w:p>
        </w:tc>
        <w:tc>
          <w:tcPr>
            <w:tcW w:w="992" w:type="dxa"/>
            <w:vAlign w:val="center"/>
          </w:tcPr>
          <w:p w:rsidR="00934BF5" w:rsidRDefault="0068392F">
            <w:pPr>
              <w:jc w:val="right"/>
            </w:pPr>
            <w:r>
              <w:t>0.27%</w:t>
            </w:r>
          </w:p>
        </w:tc>
        <w:tc>
          <w:tcPr>
            <w:tcW w:w="1276" w:type="dxa"/>
            <w:vAlign w:val="center"/>
          </w:tcPr>
          <w:p w:rsidR="00934BF5" w:rsidRDefault="0068392F">
            <w:pPr>
              <w:jc w:val="center"/>
            </w:pPr>
            <w:r>
              <w:t>6</w:t>
            </w:r>
            <w:r>
              <w:t>个月</w:t>
            </w:r>
          </w:p>
        </w:tc>
      </w:tr>
      <w:tr w:rsidR="00934BF5">
        <w:tc>
          <w:tcPr>
            <w:tcW w:w="1560" w:type="dxa"/>
            <w:vAlign w:val="center"/>
          </w:tcPr>
          <w:p w:rsidR="00934BF5" w:rsidRDefault="0068392F">
            <w:pPr>
              <w:jc w:val="left"/>
            </w:pPr>
            <w:r>
              <w:t>华夏磐润两年定期开放混合型证券投资基金</w:t>
            </w:r>
          </w:p>
        </w:tc>
        <w:tc>
          <w:tcPr>
            <w:tcW w:w="1117" w:type="dxa"/>
            <w:vAlign w:val="center"/>
          </w:tcPr>
          <w:p w:rsidR="00934BF5" w:rsidRDefault="0068392F">
            <w:pPr>
              <w:jc w:val="left"/>
            </w:pPr>
            <w:r>
              <w:t>华海诚科</w:t>
            </w:r>
          </w:p>
        </w:tc>
        <w:tc>
          <w:tcPr>
            <w:tcW w:w="1070" w:type="dxa"/>
            <w:vAlign w:val="center"/>
          </w:tcPr>
          <w:p w:rsidR="00934BF5" w:rsidRDefault="0068392F">
            <w:pPr>
              <w:jc w:val="right"/>
            </w:pPr>
            <w:r>
              <w:t>126,248</w:t>
            </w:r>
          </w:p>
        </w:tc>
        <w:tc>
          <w:tcPr>
            <w:tcW w:w="1923" w:type="dxa"/>
            <w:vAlign w:val="center"/>
          </w:tcPr>
          <w:p w:rsidR="00934BF5" w:rsidRDefault="0068392F">
            <w:pPr>
              <w:jc w:val="right"/>
            </w:pPr>
            <w:r>
              <w:t>10,500,046.16</w:t>
            </w:r>
          </w:p>
        </w:tc>
        <w:tc>
          <w:tcPr>
            <w:tcW w:w="993" w:type="dxa"/>
            <w:vAlign w:val="center"/>
          </w:tcPr>
          <w:p w:rsidR="00934BF5" w:rsidRDefault="0068392F">
            <w:pPr>
              <w:jc w:val="right"/>
            </w:pPr>
            <w:r>
              <w:t>4.14%</w:t>
            </w:r>
          </w:p>
        </w:tc>
        <w:tc>
          <w:tcPr>
            <w:tcW w:w="1701" w:type="dxa"/>
            <w:vAlign w:val="center"/>
          </w:tcPr>
          <w:p w:rsidR="00934BF5" w:rsidRDefault="0068392F">
            <w:pPr>
              <w:jc w:val="right"/>
            </w:pPr>
            <w:r>
              <w:t>13,401,225.20</w:t>
            </w:r>
          </w:p>
        </w:tc>
        <w:tc>
          <w:tcPr>
            <w:tcW w:w="992" w:type="dxa"/>
            <w:vAlign w:val="center"/>
          </w:tcPr>
          <w:p w:rsidR="00934BF5" w:rsidRDefault="0068392F">
            <w:pPr>
              <w:jc w:val="right"/>
            </w:pPr>
            <w:r>
              <w:t>5.29%</w:t>
            </w:r>
          </w:p>
        </w:tc>
        <w:tc>
          <w:tcPr>
            <w:tcW w:w="1276" w:type="dxa"/>
            <w:vAlign w:val="center"/>
          </w:tcPr>
          <w:p w:rsidR="00934BF5" w:rsidRDefault="0068392F">
            <w:pPr>
              <w:jc w:val="center"/>
            </w:pPr>
            <w:r>
              <w:t>6</w:t>
            </w:r>
            <w:r>
              <w:t>个月</w:t>
            </w:r>
          </w:p>
        </w:tc>
      </w:tr>
      <w:tr w:rsidR="00934BF5">
        <w:tc>
          <w:tcPr>
            <w:tcW w:w="1560" w:type="dxa"/>
            <w:vAlign w:val="center"/>
          </w:tcPr>
          <w:p w:rsidR="00934BF5" w:rsidRDefault="0068392F">
            <w:pPr>
              <w:jc w:val="left"/>
            </w:pPr>
            <w:r>
              <w:t>华夏磐利一年定期开放混合型证券投资基金</w:t>
            </w:r>
          </w:p>
        </w:tc>
        <w:tc>
          <w:tcPr>
            <w:tcW w:w="1117" w:type="dxa"/>
            <w:vAlign w:val="center"/>
          </w:tcPr>
          <w:p w:rsidR="00934BF5" w:rsidRDefault="0068392F">
            <w:pPr>
              <w:jc w:val="left"/>
            </w:pPr>
            <w:r>
              <w:t>华海诚科</w:t>
            </w:r>
          </w:p>
        </w:tc>
        <w:tc>
          <w:tcPr>
            <w:tcW w:w="1070" w:type="dxa"/>
            <w:vAlign w:val="center"/>
          </w:tcPr>
          <w:p w:rsidR="00934BF5" w:rsidRDefault="0068392F">
            <w:pPr>
              <w:jc w:val="right"/>
            </w:pPr>
            <w:r>
              <w:t>88,974</w:t>
            </w:r>
          </w:p>
        </w:tc>
        <w:tc>
          <w:tcPr>
            <w:tcW w:w="1923" w:type="dxa"/>
            <w:vAlign w:val="center"/>
          </w:tcPr>
          <w:p w:rsidR="00934BF5" w:rsidRDefault="0068392F">
            <w:pPr>
              <w:jc w:val="right"/>
            </w:pPr>
            <w:r>
              <w:t>7,399,967.58</w:t>
            </w:r>
          </w:p>
        </w:tc>
        <w:tc>
          <w:tcPr>
            <w:tcW w:w="993" w:type="dxa"/>
            <w:vAlign w:val="center"/>
          </w:tcPr>
          <w:p w:rsidR="00934BF5" w:rsidRDefault="0068392F">
            <w:pPr>
              <w:jc w:val="right"/>
            </w:pPr>
            <w:r>
              <w:t>4.44%</w:t>
            </w:r>
          </w:p>
        </w:tc>
        <w:tc>
          <w:tcPr>
            <w:tcW w:w="1701" w:type="dxa"/>
            <w:vAlign w:val="center"/>
          </w:tcPr>
          <w:p w:rsidR="00934BF5" w:rsidRDefault="0068392F">
            <w:pPr>
              <w:jc w:val="right"/>
            </w:pPr>
            <w:r>
              <w:t>9,444,590.10</w:t>
            </w:r>
          </w:p>
        </w:tc>
        <w:tc>
          <w:tcPr>
            <w:tcW w:w="992" w:type="dxa"/>
            <w:vAlign w:val="center"/>
          </w:tcPr>
          <w:p w:rsidR="00934BF5" w:rsidRDefault="0068392F">
            <w:pPr>
              <w:jc w:val="right"/>
            </w:pPr>
            <w:r>
              <w:t>5.67%</w:t>
            </w:r>
          </w:p>
        </w:tc>
        <w:tc>
          <w:tcPr>
            <w:tcW w:w="1276" w:type="dxa"/>
            <w:vAlign w:val="center"/>
          </w:tcPr>
          <w:p w:rsidR="00934BF5" w:rsidRDefault="0068392F">
            <w:pPr>
              <w:jc w:val="center"/>
            </w:pPr>
            <w:r>
              <w:t>6</w:t>
            </w:r>
            <w:r>
              <w:t>个月</w:t>
            </w:r>
          </w:p>
        </w:tc>
      </w:tr>
    </w:tbl>
    <w:bookmarkEnd w:id="2"/>
    <w:bookmarkEnd w:id="3"/>
    <w:p w:rsidR="005669AD" w:rsidRDefault="001024EE">
      <w:pPr>
        <w:tabs>
          <w:tab w:val="left" w:pos="10440"/>
        </w:tabs>
        <w:spacing w:line="360" w:lineRule="auto"/>
        <w:ind w:firstLineChars="200" w:firstLine="420"/>
        <w:rPr>
          <w:color w:val="000000"/>
        </w:rPr>
      </w:pPr>
      <w:r>
        <w:rPr>
          <w:rFonts w:hAnsi="宋体" w:cs="宋体" w:hint="eastAsia"/>
          <w:color w:val="000000"/>
        </w:rPr>
        <w:t>注：基金资产净值、账面价值为</w:t>
      </w:r>
      <w:r>
        <w:rPr>
          <w:color w:val="000000"/>
        </w:rPr>
        <w:t>2025</w:t>
      </w:r>
      <w:r>
        <w:rPr>
          <w:color w:val="000000"/>
        </w:rPr>
        <w:t>年</w:t>
      </w:r>
      <w:r>
        <w:rPr>
          <w:color w:val="000000"/>
        </w:rPr>
        <w:t>12</w:t>
      </w:r>
      <w:r>
        <w:rPr>
          <w:color w:val="000000"/>
        </w:rPr>
        <w:t>月</w:t>
      </w:r>
      <w:r>
        <w:rPr>
          <w:color w:val="000000"/>
        </w:rPr>
        <w:t>25</w:t>
      </w:r>
      <w:r>
        <w:rPr>
          <w:color w:val="000000"/>
        </w:rPr>
        <w:t>日</w:t>
      </w:r>
      <w:r>
        <w:rPr>
          <w:rFonts w:hAnsi="宋体" w:cs="宋体" w:hint="eastAsia"/>
          <w:color w:val="000000"/>
        </w:rPr>
        <w:t>数据。</w:t>
      </w:r>
    </w:p>
    <w:p w:rsidR="005669AD" w:rsidRDefault="001024EE">
      <w:pPr>
        <w:tabs>
          <w:tab w:val="left" w:pos="10440"/>
        </w:tabs>
        <w:spacing w:line="360" w:lineRule="auto"/>
        <w:ind w:firstLineChars="200" w:firstLine="480"/>
        <w:rPr>
          <w:rFonts w:hAnsi="宋体" w:cs="宋体"/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特此公告</w:t>
      </w:r>
    </w:p>
    <w:p w:rsidR="005669AD" w:rsidRDefault="005669AD">
      <w:pPr>
        <w:tabs>
          <w:tab w:val="left" w:pos="1044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</w:rPr>
      </w:pPr>
    </w:p>
    <w:p w:rsidR="005669AD" w:rsidRDefault="005669AD">
      <w:pPr>
        <w:tabs>
          <w:tab w:val="left" w:pos="1044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</w:rPr>
      </w:pPr>
    </w:p>
    <w:p w:rsidR="005669AD" w:rsidRDefault="001024EE">
      <w:pPr>
        <w:tabs>
          <w:tab w:val="left" w:pos="10440"/>
        </w:tabs>
        <w:snapToGrid w:val="0"/>
        <w:spacing w:line="360" w:lineRule="auto"/>
        <w:jc w:val="right"/>
        <w:rPr>
          <w:color w:val="000000"/>
          <w:sz w:val="24"/>
          <w:szCs w:val="24"/>
        </w:rPr>
      </w:pPr>
      <w:r>
        <w:rPr>
          <w:rFonts w:hAnsi="宋体" w:cs="宋体" w:hint="eastAsia"/>
          <w:color w:val="000000"/>
          <w:sz w:val="24"/>
          <w:szCs w:val="24"/>
        </w:rPr>
        <w:t>华夏基金管理有限公司</w:t>
      </w:r>
    </w:p>
    <w:p w:rsidR="005669AD" w:rsidRDefault="001024EE">
      <w:pPr>
        <w:tabs>
          <w:tab w:val="left" w:pos="10440"/>
        </w:tabs>
        <w:snapToGrid w:val="0"/>
        <w:spacing w:line="360" w:lineRule="auto"/>
        <w:jc w:val="right"/>
        <w:rPr>
          <w:color w:val="000000"/>
        </w:rPr>
      </w:pPr>
      <w:r>
        <w:rPr>
          <w:rFonts w:ascii="宋体" w:hAnsi="宋体" w:cs="宋体"/>
          <w:color w:val="000000"/>
          <w:sz w:val="24"/>
          <w:szCs w:val="24"/>
        </w:rPr>
        <w:t>二〇二五年十二月二十七日</w:t>
      </w:r>
    </w:p>
    <w:sectPr w:rsidR="005669AD" w:rsidSect="00F31B3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F3A" w:rsidRDefault="00726F3A">
      <w:r>
        <w:separator/>
      </w:r>
    </w:p>
  </w:endnote>
  <w:endnote w:type="continuationSeparator" w:id="0">
    <w:p w:rsidR="00726F3A" w:rsidRDefault="00726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9AD" w:rsidRDefault="00F31B3F">
    <w:pPr>
      <w:pStyle w:val="a5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024E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81C81">
      <w:rPr>
        <w:rStyle w:val="a8"/>
        <w:noProof/>
      </w:rPr>
      <w:t>1</w:t>
    </w:r>
    <w:r>
      <w:rPr>
        <w:rStyle w:val="a8"/>
      </w:rPr>
      <w:fldChar w:fldCharType="end"/>
    </w:r>
  </w:p>
  <w:p w:rsidR="005669AD" w:rsidRDefault="005669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F3A" w:rsidRDefault="00726F3A">
      <w:r>
        <w:separator/>
      </w:r>
    </w:p>
  </w:footnote>
  <w:footnote w:type="continuationSeparator" w:id="0">
    <w:p w:rsidR="00726F3A" w:rsidRDefault="00726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9AD" w:rsidRDefault="005669AD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g4MzViYTVjNThhNGI0NjAwZTU4ZDMyN2NkZmYzM2QifQ=="/>
  </w:docVars>
  <w:rsids>
    <w:rsidRoot w:val="007111A4"/>
    <w:rsid w:val="00000D98"/>
    <w:rsid w:val="00001A72"/>
    <w:rsid w:val="00002706"/>
    <w:rsid w:val="000029E1"/>
    <w:rsid w:val="00004EB2"/>
    <w:rsid w:val="00013A1A"/>
    <w:rsid w:val="00024626"/>
    <w:rsid w:val="000249F2"/>
    <w:rsid w:val="00027A43"/>
    <w:rsid w:val="000303D4"/>
    <w:rsid w:val="00031833"/>
    <w:rsid w:val="00032214"/>
    <w:rsid w:val="00032422"/>
    <w:rsid w:val="0003326F"/>
    <w:rsid w:val="00035C85"/>
    <w:rsid w:val="000425D4"/>
    <w:rsid w:val="00047F69"/>
    <w:rsid w:val="00053278"/>
    <w:rsid w:val="00054D55"/>
    <w:rsid w:val="00055C72"/>
    <w:rsid w:val="000560C5"/>
    <w:rsid w:val="00056A27"/>
    <w:rsid w:val="000604F5"/>
    <w:rsid w:val="00067841"/>
    <w:rsid w:val="000744A1"/>
    <w:rsid w:val="00085462"/>
    <w:rsid w:val="00086108"/>
    <w:rsid w:val="00092164"/>
    <w:rsid w:val="0009262A"/>
    <w:rsid w:val="00093039"/>
    <w:rsid w:val="00093145"/>
    <w:rsid w:val="00093606"/>
    <w:rsid w:val="0009614A"/>
    <w:rsid w:val="000A3600"/>
    <w:rsid w:val="000A5B09"/>
    <w:rsid w:val="000A63C0"/>
    <w:rsid w:val="000A6DAC"/>
    <w:rsid w:val="000B1AFD"/>
    <w:rsid w:val="000B2518"/>
    <w:rsid w:val="000B3257"/>
    <w:rsid w:val="000C06C9"/>
    <w:rsid w:val="000C1621"/>
    <w:rsid w:val="000C1AA3"/>
    <w:rsid w:val="000C2A16"/>
    <w:rsid w:val="000C332C"/>
    <w:rsid w:val="000C53D8"/>
    <w:rsid w:val="000C6695"/>
    <w:rsid w:val="000D2119"/>
    <w:rsid w:val="000D277D"/>
    <w:rsid w:val="000D63DA"/>
    <w:rsid w:val="000E30B8"/>
    <w:rsid w:val="000E5ABF"/>
    <w:rsid w:val="000E79C7"/>
    <w:rsid w:val="000E7AF4"/>
    <w:rsid w:val="000F120B"/>
    <w:rsid w:val="000F47DA"/>
    <w:rsid w:val="000F5486"/>
    <w:rsid w:val="000F56B3"/>
    <w:rsid w:val="000F5BEE"/>
    <w:rsid w:val="000F69DA"/>
    <w:rsid w:val="001024EE"/>
    <w:rsid w:val="0010282D"/>
    <w:rsid w:val="00103AAF"/>
    <w:rsid w:val="0010567B"/>
    <w:rsid w:val="001073B2"/>
    <w:rsid w:val="001104A1"/>
    <w:rsid w:val="00110A7D"/>
    <w:rsid w:val="00111FA6"/>
    <w:rsid w:val="00116752"/>
    <w:rsid w:val="00117041"/>
    <w:rsid w:val="0011708E"/>
    <w:rsid w:val="001175B1"/>
    <w:rsid w:val="001244A6"/>
    <w:rsid w:val="00126AAF"/>
    <w:rsid w:val="00134E99"/>
    <w:rsid w:val="00142123"/>
    <w:rsid w:val="00143FE8"/>
    <w:rsid w:val="00145BEE"/>
    <w:rsid w:val="001606DF"/>
    <w:rsid w:val="00160D8A"/>
    <w:rsid w:val="00164BD3"/>
    <w:rsid w:val="001669D1"/>
    <w:rsid w:val="0017414D"/>
    <w:rsid w:val="00174B79"/>
    <w:rsid w:val="001874E0"/>
    <w:rsid w:val="001907BE"/>
    <w:rsid w:val="00191B6E"/>
    <w:rsid w:val="00192B76"/>
    <w:rsid w:val="00194CED"/>
    <w:rsid w:val="001A1B66"/>
    <w:rsid w:val="001A2B27"/>
    <w:rsid w:val="001A33A1"/>
    <w:rsid w:val="001A42CD"/>
    <w:rsid w:val="001B33EC"/>
    <w:rsid w:val="001B37A5"/>
    <w:rsid w:val="001B3908"/>
    <w:rsid w:val="001C3196"/>
    <w:rsid w:val="001C6599"/>
    <w:rsid w:val="001D0AF4"/>
    <w:rsid w:val="001D0BF4"/>
    <w:rsid w:val="001D4CDE"/>
    <w:rsid w:val="001D5C50"/>
    <w:rsid w:val="001E0460"/>
    <w:rsid w:val="001E1657"/>
    <w:rsid w:val="001E35F9"/>
    <w:rsid w:val="001E5768"/>
    <w:rsid w:val="001F1C64"/>
    <w:rsid w:val="001F2225"/>
    <w:rsid w:val="001F38AA"/>
    <w:rsid w:val="001F7306"/>
    <w:rsid w:val="001F7D9B"/>
    <w:rsid w:val="00200615"/>
    <w:rsid w:val="00200C5A"/>
    <w:rsid w:val="00202600"/>
    <w:rsid w:val="00204B5F"/>
    <w:rsid w:val="00207552"/>
    <w:rsid w:val="00210D5A"/>
    <w:rsid w:val="00212B08"/>
    <w:rsid w:val="002131F6"/>
    <w:rsid w:val="00216F3D"/>
    <w:rsid w:val="00224F6A"/>
    <w:rsid w:val="00227CEB"/>
    <w:rsid w:val="002302B9"/>
    <w:rsid w:val="00234EA8"/>
    <w:rsid w:val="002363B4"/>
    <w:rsid w:val="00236BBD"/>
    <w:rsid w:val="002462F1"/>
    <w:rsid w:val="00246DEE"/>
    <w:rsid w:val="00247A5C"/>
    <w:rsid w:val="00250EBF"/>
    <w:rsid w:val="00251D83"/>
    <w:rsid w:val="00253517"/>
    <w:rsid w:val="00255D68"/>
    <w:rsid w:val="002571C9"/>
    <w:rsid w:val="0026448A"/>
    <w:rsid w:val="00272299"/>
    <w:rsid w:val="00277CD2"/>
    <w:rsid w:val="00290A27"/>
    <w:rsid w:val="0029399F"/>
    <w:rsid w:val="00294CEB"/>
    <w:rsid w:val="002A0D7B"/>
    <w:rsid w:val="002A144A"/>
    <w:rsid w:val="002A263F"/>
    <w:rsid w:val="002A3B6A"/>
    <w:rsid w:val="002A3B7A"/>
    <w:rsid w:val="002A73B1"/>
    <w:rsid w:val="002B0359"/>
    <w:rsid w:val="002B4E3C"/>
    <w:rsid w:val="002C31F1"/>
    <w:rsid w:val="002C464E"/>
    <w:rsid w:val="002C50CC"/>
    <w:rsid w:val="002D4DE0"/>
    <w:rsid w:val="002D6312"/>
    <w:rsid w:val="002D77B0"/>
    <w:rsid w:val="002E57E7"/>
    <w:rsid w:val="002F30A9"/>
    <w:rsid w:val="002F3D88"/>
    <w:rsid w:val="00304363"/>
    <w:rsid w:val="003107A6"/>
    <w:rsid w:val="00311094"/>
    <w:rsid w:val="00320715"/>
    <w:rsid w:val="00331598"/>
    <w:rsid w:val="00332418"/>
    <w:rsid w:val="00332FA5"/>
    <w:rsid w:val="00334869"/>
    <w:rsid w:val="00341AFD"/>
    <w:rsid w:val="003420AD"/>
    <w:rsid w:val="003461CB"/>
    <w:rsid w:val="00352654"/>
    <w:rsid w:val="00352B5D"/>
    <w:rsid w:val="00352BD5"/>
    <w:rsid w:val="00353A6A"/>
    <w:rsid w:val="00353AB8"/>
    <w:rsid w:val="0035417D"/>
    <w:rsid w:val="0035656D"/>
    <w:rsid w:val="00356975"/>
    <w:rsid w:val="0035748D"/>
    <w:rsid w:val="003575D9"/>
    <w:rsid w:val="00364F3E"/>
    <w:rsid w:val="003701AD"/>
    <w:rsid w:val="003703F2"/>
    <w:rsid w:val="00371013"/>
    <w:rsid w:val="00371F68"/>
    <w:rsid w:val="00381B26"/>
    <w:rsid w:val="00381B67"/>
    <w:rsid w:val="00391163"/>
    <w:rsid w:val="00392487"/>
    <w:rsid w:val="003937ED"/>
    <w:rsid w:val="00396FA8"/>
    <w:rsid w:val="0039754A"/>
    <w:rsid w:val="00397D55"/>
    <w:rsid w:val="003A0AC8"/>
    <w:rsid w:val="003A34CE"/>
    <w:rsid w:val="003A55FA"/>
    <w:rsid w:val="003B0EA6"/>
    <w:rsid w:val="003B1C62"/>
    <w:rsid w:val="003B52FA"/>
    <w:rsid w:val="003B5E35"/>
    <w:rsid w:val="003B647D"/>
    <w:rsid w:val="003B7889"/>
    <w:rsid w:val="003C1F40"/>
    <w:rsid w:val="003C39B4"/>
    <w:rsid w:val="003C483A"/>
    <w:rsid w:val="003C6054"/>
    <w:rsid w:val="003C63FB"/>
    <w:rsid w:val="003D4AC6"/>
    <w:rsid w:val="003D618B"/>
    <w:rsid w:val="003E271A"/>
    <w:rsid w:val="003E39AE"/>
    <w:rsid w:val="003E4BBA"/>
    <w:rsid w:val="00401700"/>
    <w:rsid w:val="0040455D"/>
    <w:rsid w:val="00410C2E"/>
    <w:rsid w:val="00412493"/>
    <w:rsid w:val="00414407"/>
    <w:rsid w:val="004163C3"/>
    <w:rsid w:val="004171FC"/>
    <w:rsid w:val="00425B0B"/>
    <w:rsid w:val="00431987"/>
    <w:rsid w:val="00434EED"/>
    <w:rsid w:val="00435DC8"/>
    <w:rsid w:val="00436B70"/>
    <w:rsid w:val="00436DDA"/>
    <w:rsid w:val="00437B5E"/>
    <w:rsid w:val="004429CF"/>
    <w:rsid w:val="00443335"/>
    <w:rsid w:val="00446203"/>
    <w:rsid w:val="00462843"/>
    <w:rsid w:val="00463127"/>
    <w:rsid w:val="0046407D"/>
    <w:rsid w:val="004649B8"/>
    <w:rsid w:val="004722F3"/>
    <w:rsid w:val="00475369"/>
    <w:rsid w:val="00482A67"/>
    <w:rsid w:val="00487DA3"/>
    <w:rsid w:val="00491BC9"/>
    <w:rsid w:val="00491FD9"/>
    <w:rsid w:val="00493F07"/>
    <w:rsid w:val="004970EA"/>
    <w:rsid w:val="004A0400"/>
    <w:rsid w:val="004A0C0A"/>
    <w:rsid w:val="004A17EF"/>
    <w:rsid w:val="004A25D4"/>
    <w:rsid w:val="004A31D4"/>
    <w:rsid w:val="004A6E0A"/>
    <w:rsid w:val="004B0F32"/>
    <w:rsid w:val="004B109F"/>
    <w:rsid w:val="004B3D50"/>
    <w:rsid w:val="004B7478"/>
    <w:rsid w:val="004B7F0A"/>
    <w:rsid w:val="004C2A35"/>
    <w:rsid w:val="004C49F0"/>
    <w:rsid w:val="004D2767"/>
    <w:rsid w:val="004D2FF8"/>
    <w:rsid w:val="004D4225"/>
    <w:rsid w:val="004D7714"/>
    <w:rsid w:val="004E01DF"/>
    <w:rsid w:val="004E0C43"/>
    <w:rsid w:val="004E6D27"/>
    <w:rsid w:val="004F0077"/>
    <w:rsid w:val="004F621D"/>
    <w:rsid w:val="004F7597"/>
    <w:rsid w:val="004F77E9"/>
    <w:rsid w:val="00500914"/>
    <w:rsid w:val="00510645"/>
    <w:rsid w:val="00510EAC"/>
    <w:rsid w:val="00520B98"/>
    <w:rsid w:val="005236D3"/>
    <w:rsid w:val="00530043"/>
    <w:rsid w:val="00533301"/>
    <w:rsid w:val="005338BF"/>
    <w:rsid w:val="00534ECA"/>
    <w:rsid w:val="0053655C"/>
    <w:rsid w:val="005440EE"/>
    <w:rsid w:val="00544C04"/>
    <w:rsid w:val="00544E7F"/>
    <w:rsid w:val="005458A8"/>
    <w:rsid w:val="00550349"/>
    <w:rsid w:val="005515BC"/>
    <w:rsid w:val="00552D4A"/>
    <w:rsid w:val="00553BCD"/>
    <w:rsid w:val="00554EA5"/>
    <w:rsid w:val="005573E4"/>
    <w:rsid w:val="00557B03"/>
    <w:rsid w:val="0056521F"/>
    <w:rsid w:val="005669AD"/>
    <w:rsid w:val="0057263F"/>
    <w:rsid w:val="005734C5"/>
    <w:rsid w:val="00575AF9"/>
    <w:rsid w:val="00575F18"/>
    <w:rsid w:val="00576305"/>
    <w:rsid w:val="0057668D"/>
    <w:rsid w:val="005829DA"/>
    <w:rsid w:val="0058390B"/>
    <w:rsid w:val="00584B96"/>
    <w:rsid w:val="0058565F"/>
    <w:rsid w:val="00586D19"/>
    <w:rsid w:val="00590E64"/>
    <w:rsid w:val="005A3A14"/>
    <w:rsid w:val="005A4092"/>
    <w:rsid w:val="005B461D"/>
    <w:rsid w:val="005B636A"/>
    <w:rsid w:val="005B6551"/>
    <w:rsid w:val="005B6CA2"/>
    <w:rsid w:val="005C5E87"/>
    <w:rsid w:val="005D04DB"/>
    <w:rsid w:val="005D1D26"/>
    <w:rsid w:val="005D5480"/>
    <w:rsid w:val="005D6173"/>
    <w:rsid w:val="005E0ADC"/>
    <w:rsid w:val="005E42D5"/>
    <w:rsid w:val="005E5C7B"/>
    <w:rsid w:val="005E7E87"/>
    <w:rsid w:val="005F66B2"/>
    <w:rsid w:val="005F7D29"/>
    <w:rsid w:val="00605D21"/>
    <w:rsid w:val="00606196"/>
    <w:rsid w:val="006075B3"/>
    <w:rsid w:val="00610BEE"/>
    <w:rsid w:val="00621B7D"/>
    <w:rsid w:val="00624130"/>
    <w:rsid w:val="00625DEC"/>
    <w:rsid w:val="00626961"/>
    <w:rsid w:val="00631A25"/>
    <w:rsid w:val="006339C3"/>
    <w:rsid w:val="0063610A"/>
    <w:rsid w:val="00644925"/>
    <w:rsid w:val="00651B5D"/>
    <w:rsid w:val="006627AC"/>
    <w:rsid w:val="00674223"/>
    <w:rsid w:val="006775DA"/>
    <w:rsid w:val="006814AA"/>
    <w:rsid w:val="0068392F"/>
    <w:rsid w:val="0068423B"/>
    <w:rsid w:val="00687DE7"/>
    <w:rsid w:val="00690E51"/>
    <w:rsid w:val="0069170A"/>
    <w:rsid w:val="00692C47"/>
    <w:rsid w:val="0069327A"/>
    <w:rsid w:val="00693707"/>
    <w:rsid w:val="006970A7"/>
    <w:rsid w:val="006A13B3"/>
    <w:rsid w:val="006A582A"/>
    <w:rsid w:val="006A58F0"/>
    <w:rsid w:val="006B01B2"/>
    <w:rsid w:val="006B0683"/>
    <w:rsid w:val="006B30AD"/>
    <w:rsid w:val="006B3984"/>
    <w:rsid w:val="006C01AF"/>
    <w:rsid w:val="006C3586"/>
    <w:rsid w:val="006C6D6C"/>
    <w:rsid w:val="006D1A83"/>
    <w:rsid w:val="006D3591"/>
    <w:rsid w:val="006D483B"/>
    <w:rsid w:val="006D7AEB"/>
    <w:rsid w:val="006E220B"/>
    <w:rsid w:val="006E229E"/>
    <w:rsid w:val="006E329D"/>
    <w:rsid w:val="006F78EE"/>
    <w:rsid w:val="007062C7"/>
    <w:rsid w:val="00706B30"/>
    <w:rsid w:val="007111A4"/>
    <w:rsid w:val="00713A72"/>
    <w:rsid w:val="007146CE"/>
    <w:rsid w:val="00722D55"/>
    <w:rsid w:val="00724964"/>
    <w:rsid w:val="0072524C"/>
    <w:rsid w:val="00726F3A"/>
    <w:rsid w:val="00727B8D"/>
    <w:rsid w:val="00737DA6"/>
    <w:rsid w:val="00740EC6"/>
    <w:rsid w:val="007560B9"/>
    <w:rsid w:val="0076276A"/>
    <w:rsid w:val="007627EE"/>
    <w:rsid w:val="00766085"/>
    <w:rsid w:val="007779FC"/>
    <w:rsid w:val="00782651"/>
    <w:rsid w:val="0078300A"/>
    <w:rsid w:val="00784429"/>
    <w:rsid w:val="0078717C"/>
    <w:rsid w:val="00791EDD"/>
    <w:rsid w:val="00792EF8"/>
    <w:rsid w:val="00795CC3"/>
    <w:rsid w:val="00797CF1"/>
    <w:rsid w:val="007A3A52"/>
    <w:rsid w:val="007A4C5A"/>
    <w:rsid w:val="007A4FA3"/>
    <w:rsid w:val="007B0740"/>
    <w:rsid w:val="007B1D38"/>
    <w:rsid w:val="007B4C3B"/>
    <w:rsid w:val="007C2CE5"/>
    <w:rsid w:val="007C40EC"/>
    <w:rsid w:val="007D12F0"/>
    <w:rsid w:val="007D3A0C"/>
    <w:rsid w:val="007D4F4D"/>
    <w:rsid w:val="007D6F01"/>
    <w:rsid w:val="007E0CD3"/>
    <w:rsid w:val="007E2598"/>
    <w:rsid w:val="007E6B6C"/>
    <w:rsid w:val="007E6D68"/>
    <w:rsid w:val="007E781F"/>
    <w:rsid w:val="007F112B"/>
    <w:rsid w:val="007F7958"/>
    <w:rsid w:val="00807998"/>
    <w:rsid w:val="00807B62"/>
    <w:rsid w:val="00816D0F"/>
    <w:rsid w:val="00817B5F"/>
    <w:rsid w:val="008201C6"/>
    <w:rsid w:val="00820A37"/>
    <w:rsid w:val="00820D11"/>
    <w:rsid w:val="008219B6"/>
    <w:rsid w:val="008302D9"/>
    <w:rsid w:val="008311C8"/>
    <w:rsid w:val="00835044"/>
    <w:rsid w:val="00836ECC"/>
    <w:rsid w:val="00837BE1"/>
    <w:rsid w:val="00840C80"/>
    <w:rsid w:val="00843039"/>
    <w:rsid w:val="00846B1B"/>
    <w:rsid w:val="00846FDC"/>
    <w:rsid w:val="00853506"/>
    <w:rsid w:val="008571F5"/>
    <w:rsid w:val="00860962"/>
    <w:rsid w:val="00862A9F"/>
    <w:rsid w:val="00866D55"/>
    <w:rsid w:val="00872E74"/>
    <w:rsid w:val="008754BD"/>
    <w:rsid w:val="008763D2"/>
    <w:rsid w:val="0088011D"/>
    <w:rsid w:val="0089475F"/>
    <w:rsid w:val="0089633D"/>
    <w:rsid w:val="00897233"/>
    <w:rsid w:val="008A2B01"/>
    <w:rsid w:val="008A3540"/>
    <w:rsid w:val="008A3DF2"/>
    <w:rsid w:val="008A3E4C"/>
    <w:rsid w:val="008B0692"/>
    <w:rsid w:val="008B0C7D"/>
    <w:rsid w:val="008B0E43"/>
    <w:rsid w:val="008B1A36"/>
    <w:rsid w:val="008B3AC3"/>
    <w:rsid w:val="008B406B"/>
    <w:rsid w:val="008B51AF"/>
    <w:rsid w:val="008B5CA3"/>
    <w:rsid w:val="008C12FA"/>
    <w:rsid w:val="008C43AE"/>
    <w:rsid w:val="008C7505"/>
    <w:rsid w:val="008D6023"/>
    <w:rsid w:val="008D6ADC"/>
    <w:rsid w:val="008D7323"/>
    <w:rsid w:val="008E5936"/>
    <w:rsid w:val="008F19DC"/>
    <w:rsid w:val="008F3172"/>
    <w:rsid w:val="008F6648"/>
    <w:rsid w:val="008F6AAA"/>
    <w:rsid w:val="0090238D"/>
    <w:rsid w:val="00903205"/>
    <w:rsid w:val="00913650"/>
    <w:rsid w:val="00921009"/>
    <w:rsid w:val="009210C1"/>
    <w:rsid w:val="0092337E"/>
    <w:rsid w:val="0092506A"/>
    <w:rsid w:val="00932B68"/>
    <w:rsid w:val="00932BB8"/>
    <w:rsid w:val="00934ADE"/>
    <w:rsid w:val="00934BF5"/>
    <w:rsid w:val="009506EB"/>
    <w:rsid w:val="00951D64"/>
    <w:rsid w:val="00953F1E"/>
    <w:rsid w:val="009549DA"/>
    <w:rsid w:val="0095508A"/>
    <w:rsid w:val="00955A7E"/>
    <w:rsid w:val="00956868"/>
    <w:rsid w:val="009630DD"/>
    <w:rsid w:val="0096749A"/>
    <w:rsid w:val="00974960"/>
    <w:rsid w:val="00981C81"/>
    <w:rsid w:val="00982091"/>
    <w:rsid w:val="00983B17"/>
    <w:rsid w:val="00991F25"/>
    <w:rsid w:val="00994881"/>
    <w:rsid w:val="009978B5"/>
    <w:rsid w:val="00997DC5"/>
    <w:rsid w:val="009A29DA"/>
    <w:rsid w:val="009A655B"/>
    <w:rsid w:val="009B026F"/>
    <w:rsid w:val="009C2D3E"/>
    <w:rsid w:val="009C732F"/>
    <w:rsid w:val="009C7F53"/>
    <w:rsid w:val="009D0107"/>
    <w:rsid w:val="009D3008"/>
    <w:rsid w:val="009D3453"/>
    <w:rsid w:val="009D56DE"/>
    <w:rsid w:val="009D6054"/>
    <w:rsid w:val="009D7D4F"/>
    <w:rsid w:val="009E1F5E"/>
    <w:rsid w:val="009E3E80"/>
    <w:rsid w:val="009E5BD5"/>
    <w:rsid w:val="00A00697"/>
    <w:rsid w:val="00A013E6"/>
    <w:rsid w:val="00A04E88"/>
    <w:rsid w:val="00A144FE"/>
    <w:rsid w:val="00A14C52"/>
    <w:rsid w:val="00A34CA3"/>
    <w:rsid w:val="00A424E3"/>
    <w:rsid w:val="00A44247"/>
    <w:rsid w:val="00A47DD9"/>
    <w:rsid w:val="00A519C2"/>
    <w:rsid w:val="00A54140"/>
    <w:rsid w:val="00A554A3"/>
    <w:rsid w:val="00A55675"/>
    <w:rsid w:val="00A56DF7"/>
    <w:rsid w:val="00A57BF3"/>
    <w:rsid w:val="00A60930"/>
    <w:rsid w:val="00A611B7"/>
    <w:rsid w:val="00A637B1"/>
    <w:rsid w:val="00A676F7"/>
    <w:rsid w:val="00A677C6"/>
    <w:rsid w:val="00A76411"/>
    <w:rsid w:val="00A76F85"/>
    <w:rsid w:val="00A77012"/>
    <w:rsid w:val="00A770A3"/>
    <w:rsid w:val="00A82CA2"/>
    <w:rsid w:val="00AA0D80"/>
    <w:rsid w:val="00AA139D"/>
    <w:rsid w:val="00AA1ACA"/>
    <w:rsid w:val="00AA703D"/>
    <w:rsid w:val="00AB0B51"/>
    <w:rsid w:val="00AB61BB"/>
    <w:rsid w:val="00AB737F"/>
    <w:rsid w:val="00AC0649"/>
    <w:rsid w:val="00AC0744"/>
    <w:rsid w:val="00AC09EB"/>
    <w:rsid w:val="00AC0F6A"/>
    <w:rsid w:val="00AC503F"/>
    <w:rsid w:val="00AC5A79"/>
    <w:rsid w:val="00AC6AD7"/>
    <w:rsid w:val="00AC7E21"/>
    <w:rsid w:val="00AD1359"/>
    <w:rsid w:val="00AD45D0"/>
    <w:rsid w:val="00AD523B"/>
    <w:rsid w:val="00AD52E1"/>
    <w:rsid w:val="00AE149B"/>
    <w:rsid w:val="00AE3313"/>
    <w:rsid w:val="00AE5238"/>
    <w:rsid w:val="00AE5E09"/>
    <w:rsid w:val="00AE7EA8"/>
    <w:rsid w:val="00AF1C2F"/>
    <w:rsid w:val="00B03A64"/>
    <w:rsid w:val="00B043F7"/>
    <w:rsid w:val="00B04966"/>
    <w:rsid w:val="00B051C3"/>
    <w:rsid w:val="00B0722E"/>
    <w:rsid w:val="00B0785C"/>
    <w:rsid w:val="00B07B92"/>
    <w:rsid w:val="00B07F71"/>
    <w:rsid w:val="00B11773"/>
    <w:rsid w:val="00B27F29"/>
    <w:rsid w:val="00B31441"/>
    <w:rsid w:val="00B3209A"/>
    <w:rsid w:val="00B340F1"/>
    <w:rsid w:val="00B37B25"/>
    <w:rsid w:val="00B434E0"/>
    <w:rsid w:val="00B5215C"/>
    <w:rsid w:val="00B52961"/>
    <w:rsid w:val="00B67A2F"/>
    <w:rsid w:val="00B70ECB"/>
    <w:rsid w:val="00B717A0"/>
    <w:rsid w:val="00B73CD3"/>
    <w:rsid w:val="00B7553F"/>
    <w:rsid w:val="00B7594E"/>
    <w:rsid w:val="00B80F3D"/>
    <w:rsid w:val="00B85B28"/>
    <w:rsid w:val="00B85E4B"/>
    <w:rsid w:val="00B9418F"/>
    <w:rsid w:val="00BA1C46"/>
    <w:rsid w:val="00BA2133"/>
    <w:rsid w:val="00BA6257"/>
    <w:rsid w:val="00BB5893"/>
    <w:rsid w:val="00BB59B7"/>
    <w:rsid w:val="00BC1170"/>
    <w:rsid w:val="00BC23FB"/>
    <w:rsid w:val="00BC30E9"/>
    <w:rsid w:val="00BC5CD7"/>
    <w:rsid w:val="00BC5EEC"/>
    <w:rsid w:val="00BD158A"/>
    <w:rsid w:val="00BD1E48"/>
    <w:rsid w:val="00BD23A0"/>
    <w:rsid w:val="00BD35FE"/>
    <w:rsid w:val="00BD7596"/>
    <w:rsid w:val="00BE18ED"/>
    <w:rsid w:val="00BE3FAD"/>
    <w:rsid w:val="00BE7213"/>
    <w:rsid w:val="00BE7EFF"/>
    <w:rsid w:val="00BF3786"/>
    <w:rsid w:val="00BF5720"/>
    <w:rsid w:val="00BF5BD2"/>
    <w:rsid w:val="00C01440"/>
    <w:rsid w:val="00C0255D"/>
    <w:rsid w:val="00C0718B"/>
    <w:rsid w:val="00C10562"/>
    <w:rsid w:val="00C11FEA"/>
    <w:rsid w:val="00C15D00"/>
    <w:rsid w:val="00C17940"/>
    <w:rsid w:val="00C21230"/>
    <w:rsid w:val="00C2387D"/>
    <w:rsid w:val="00C26BA6"/>
    <w:rsid w:val="00C3031B"/>
    <w:rsid w:val="00C35FAB"/>
    <w:rsid w:val="00C36502"/>
    <w:rsid w:val="00C450B7"/>
    <w:rsid w:val="00C472DC"/>
    <w:rsid w:val="00C56D35"/>
    <w:rsid w:val="00C6217C"/>
    <w:rsid w:val="00C67239"/>
    <w:rsid w:val="00C707AC"/>
    <w:rsid w:val="00C72375"/>
    <w:rsid w:val="00C779BB"/>
    <w:rsid w:val="00C803B0"/>
    <w:rsid w:val="00C81AC3"/>
    <w:rsid w:val="00C87B12"/>
    <w:rsid w:val="00C9243F"/>
    <w:rsid w:val="00C925B4"/>
    <w:rsid w:val="00CA0889"/>
    <w:rsid w:val="00CA09A1"/>
    <w:rsid w:val="00CA0F9D"/>
    <w:rsid w:val="00CA3531"/>
    <w:rsid w:val="00CA5097"/>
    <w:rsid w:val="00CB007F"/>
    <w:rsid w:val="00CB1A09"/>
    <w:rsid w:val="00CB26FA"/>
    <w:rsid w:val="00CB3D67"/>
    <w:rsid w:val="00CC4F75"/>
    <w:rsid w:val="00CC513C"/>
    <w:rsid w:val="00CC5E18"/>
    <w:rsid w:val="00CC766A"/>
    <w:rsid w:val="00CC788D"/>
    <w:rsid w:val="00CC7CF9"/>
    <w:rsid w:val="00CD0FBE"/>
    <w:rsid w:val="00CD5CFD"/>
    <w:rsid w:val="00CD78D3"/>
    <w:rsid w:val="00CE64EB"/>
    <w:rsid w:val="00CF2E8E"/>
    <w:rsid w:val="00CF49D6"/>
    <w:rsid w:val="00D02370"/>
    <w:rsid w:val="00D0422E"/>
    <w:rsid w:val="00D10D61"/>
    <w:rsid w:val="00D17575"/>
    <w:rsid w:val="00D17CAD"/>
    <w:rsid w:val="00D220DF"/>
    <w:rsid w:val="00D25692"/>
    <w:rsid w:val="00D329B3"/>
    <w:rsid w:val="00D32FCA"/>
    <w:rsid w:val="00D34C3B"/>
    <w:rsid w:val="00D35197"/>
    <w:rsid w:val="00D35D6B"/>
    <w:rsid w:val="00D36C87"/>
    <w:rsid w:val="00D4046B"/>
    <w:rsid w:val="00D40E4E"/>
    <w:rsid w:val="00D423F2"/>
    <w:rsid w:val="00D451A0"/>
    <w:rsid w:val="00D451ED"/>
    <w:rsid w:val="00D455AE"/>
    <w:rsid w:val="00D457F8"/>
    <w:rsid w:val="00D56507"/>
    <w:rsid w:val="00D577C5"/>
    <w:rsid w:val="00D60B6B"/>
    <w:rsid w:val="00D6238C"/>
    <w:rsid w:val="00D67D35"/>
    <w:rsid w:val="00D73DDD"/>
    <w:rsid w:val="00D801CA"/>
    <w:rsid w:val="00D84E5A"/>
    <w:rsid w:val="00D94C28"/>
    <w:rsid w:val="00D9561D"/>
    <w:rsid w:val="00D96C02"/>
    <w:rsid w:val="00DA5C28"/>
    <w:rsid w:val="00DB2013"/>
    <w:rsid w:val="00DB7940"/>
    <w:rsid w:val="00DB7A44"/>
    <w:rsid w:val="00DC1DDB"/>
    <w:rsid w:val="00DC4085"/>
    <w:rsid w:val="00DC6AFA"/>
    <w:rsid w:val="00DC7BFC"/>
    <w:rsid w:val="00DD22EA"/>
    <w:rsid w:val="00DD40DF"/>
    <w:rsid w:val="00DD56C4"/>
    <w:rsid w:val="00DD747A"/>
    <w:rsid w:val="00DD768D"/>
    <w:rsid w:val="00DD7954"/>
    <w:rsid w:val="00DE1180"/>
    <w:rsid w:val="00DE2B39"/>
    <w:rsid w:val="00DE408D"/>
    <w:rsid w:val="00DE43D0"/>
    <w:rsid w:val="00DF0232"/>
    <w:rsid w:val="00DF2298"/>
    <w:rsid w:val="00DF7350"/>
    <w:rsid w:val="00E033AC"/>
    <w:rsid w:val="00E05E02"/>
    <w:rsid w:val="00E05F3F"/>
    <w:rsid w:val="00E06864"/>
    <w:rsid w:val="00E220F7"/>
    <w:rsid w:val="00E22109"/>
    <w:rsid w:val="00E26E98"/>
    <w:rsid w:val="00E27B5B"/>
    <w:rsid w:val="00E318E6"/>
    <w:rsid w:val="00E3371C"/>
    <w:rsid w:val="00E375B2"/>
    <w:rsid w:val="00E42920"/>
    <w:rsid w:val="00E432E9"/>
    <w:rsid w:val="00E43A24"/>
    <w:rsid w:val="00E47D25"/>
    <w:rsid w:val="00E508A3"/>
    <w:rsid w:val="00E54CA2"/>
    <w:rsid w:val="00E601C0"/>
    <w:rsid w:val="00E6050E"/>
    <w:rsid w:val="00E61F24"/>
    <w:rsid w:val="00E62749"/>
    <w:rsid w:val="00E71087"/>
    <w:rsid w:val="00E71492"/>
    <w:rsid w:val="00E8181B"/>
    <w:rsid w:val="00E85428"/>
    <w:rsid w:val="00E858BB"/>
    <w:rsid w:val="00E86285"/>
    <w:rsid w:val="00E86B95"/>
    <w:rsid w:val="00E87C7B"/>
    <w:rsid w:val="00E9351A"/>
    <w:rsid w:val="00E93CC0"/>
    <w:rsid w:val="00E94BBF"/>
    <w:rsid w:val="00E963A6"/>
    <w:rsid w:val="00EA162A"/>
    <w:rsid w:val="00EA4BC3"/>
    <w:rsid w:val="00EA6537"/>
    <w:rsid w:val="00EA6ACF"/>
    <w:rsid w:val="00EB17B3"/>
    <w:rsid w:val="00EB6E28"/>
    <w:rsid w:val="00EC232D"/>
    <w:rsid w:val="00EC3CDB"/>
    <w:rsid w:val="00EC4B94"/>
    <w:rsid w:val="00EC6F11"/>
    <w:rsid w:val="00ED1C28"/>
    <w:rsid w:val="00ED2832"/>
    <w:rsid w:val="00ED2B36"/>
    <w:rsid w:val="00EE365F"/>
    <w:rsid w:val="00EE6706"/>
    <w:rsid w:val="00EF1C99"/>
    <w:rsid w:val="00EF1F00"/>
    <w:rsid w:val="00EF2FAF"/>
    <w:rsid w:val="00F01021"/>
    <w:rsid w:val="00F03EEE"/>
    <w:rsid w:val="00F0479B"/>
    <w:rsid w:val="00F12542"/>
    <w:rsid w:val="00F12C66"/>
    <w:rsid w:val="00F141CB"/>
    <w:rsid w:val="00F15BFB"/>
    <w:rsid w:val="00F1726D"/>
    <w:rsid w:val="00F2412E"/>
    <w:rsid w:val="00F27DB3"/>
    <w:rsid w:val="00F313B9"/>
    <w:rsid w:val="00F31B3F"/>
    <w:rsid w:val="00F32503"/>
    <w:rsid w:val="00F41415"/>
    <w:rsid w:val="00F429A2"/>
    <w:rsid w:val="00F45D1F"/>
    <w:rsid w:val="00F52113"/>
    <w:rsid w:val="00F62D48"/>
    <w:rsid w:val="00F7089E"/>
    <w:rsid w:val="00F807EA"/>
    <w:rsid w:val="00F820CB"/>
    <w:rsid w:val="00F83740"/>
    <w:rsid w:val="00F84CA3"/>
    <w:rsid w:val="00F85092"/>
    <w:rsid w:val="00F854F6"/>
    <w:rsid w:val="00F863D3"/>
    <w:rsid w:val="00F90A47"/>
    <w:rsid w:val="00F91A6D"/>
    <w:rsid w:val="00F9647C"/>
    <w:rsid w:val="00FA032E"/>
    <w:rsid w:val="00FA059B"/>
    <w:rsid w:val="00FA0680"/>
    <w:rsid w:val="00FA2009"/>
    <w:rsid w:val="00FA38DA"/>
    <w:rsid w:val="00FA4B88"/>
    <w:rsid w:val="00FA7785"/>
    <w:rsid w:val="00FB291F"/>
    <w:rsid w:val="00FB5BA8"/>
    <w:rsid w:val="00FB6B59"/>
    <w:rsid w:val="00FC0197"/>
    <w:rsid w:val="00FC27C8"/>
    <w:rsid w:val="00FC624A"/>
    <w:rsid w:val="00FC685B"/>
    <w:rsid w:val="00FD5087"/>
    <w:rsid w:val="00FD5B6A"/>
    <w:rsid w:val="00FE1812"/>
    <w:rsid w:val="00FE36AB"/>
    <w:rsid w:val="00FE444F"/>
    <w:rsid w:val="00FE56C7"/>
    <w:rsid w:val="00FE63A1"/>
    <w:rsid w:val="00FE6967"/>
    <w:rsid w:val="00FE7271"/>
    <w:rsid w:val="00FF0034"/>
    <w:rsid w:val="32AB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nhideWhenUsed="0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B3F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locked/>
    <w:rsid w:val="00F31B3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F31B3F"/>
    <w:pPr>
      <w:jc w:val="left"/>
    </w:pPr>
  </w:style>
  <w:style w:type="paragraph" w:styleId="a4">
    <w:name w:val="Balloon Text"/>
    <w:basedOn w:val="a"/>
    <w:link w:val="Char0"/>
    <w:uiPriority w:val="99"/>
    <w:semiHidden/>
    <w:qFormat/>
    <w:rsid w:val="00F31B3F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F31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F31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qFormat/>
    <w:rsid w:val="00F31B3F"/>
    <w:rPr>
      <w:b/>
      <w:bCs/>
    </w:rPr>
  </w:style>
  <w:style w:type="character" w:styleId="a8">
    <w:name w:val="page number"/>
    <w:basedOn w:val="a0"/>
    <w:uiPriority w:val="99"/>
    <w:rsid w:val="00F31B3F"/>
  </w:style>
  <w:style w:type="character" w:styleId="a9">
    <w:name w:val="annotation reference"/>
    <w:basedOn w:val="a0"/>
    <w:uiPriority w:val="99"/>
    <w:semiHidden/>
    <w:qFormat/>
    <w:rsid w:val="00F31B3F"/>
    <w:rPr>
      <w:sz w:val="21"/>
      <w:szCs w:val="21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F31B3F"/>
    <w:rPr>
      <w:sz w:val="2"/>
      <w:szCs w:val="2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F31B3F"/>
    <w:rPr>
      <w:sz w:val="18"/>
      <w:szCs w:val="18"/>
    </w:rPr>
  </w:style>
  <w:style w:type="character" w:customStyle="1" w:styleId="apple-style-span">
    <w:name w:val="apple-style-span"/>
    <w:basedOn w:val="a0"/>
    <w:uiPriority w:val="99"/>
    <w:rsid w:val="00F31B3F"/>
  </w:style>
  <w:style w:type="character" w:customStyle="1" w:styleId="Char2">
    <w:name w:val="页眉 Char"/>
    <w:basedOn w:val="a0"/>
    <w:link w:val="a6"/>
    <w:uiPriority w:val="99"/>
    <w:semiHidden/>
    <w:qFormat/>
    <w:locked/>
    <w:rsid w:val="00F31B3F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locked/>
    <w:rsid w:val="00F31B3F"/>
    <w:rPr>
      <w:sz w:val="21"/>
      <w:szCs w:val="21"/>
    </w:rPr>
  </w:style>
  <w:style w:type="character" w:customStyle="1" w:styleId="Char3">
    <w:name w:val="批注主题 Char"/>
    <w:basedOn w:val="Char"/>
    <w:link w:val="a7"/>
    <w:uiPriority w:val="99"/>
    <w:semiHidden/>
    <w:locked/>
    <w:rsid w:val="00F31B3F"/>
    <w:rPr>
      <w:b/>
      <w:bCs/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F31B3F"/>
    <w:rPr>
      <w:rFonts w:ascii="宋体" w:hAnsi="宋体" w:cs="宋体"/>
      <w:b/>
      <w:bCs/>
      <w:kern w:val="36"/>
      <w:sz w:val="48"/>
      <w:szCs w:val="48"/>
    </w:rPr>
  </w:style>
  <w:style w:type="paragraph" w:customStyle="1" w:styleId="Default">
    <w:name w:val="Default"/>
    <w:qFormat/>
    <w:rsid w:val="00F31B3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F31B3F"/>
    <w:rPr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D67BB-EDBE-49B2-B9A3-A4E81925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4</DocSecurity>
  <Lines>3</Lines>
  <Paragraphs>1</Paragraphs>
  <ScaleCrop>false</ScaleCrop>
  <Company>CHINAAMC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2013-03-18T11:30:00Z</cp:lastPrinted>
  <dcterms:created xsi:type="dcterms:W3CDTF">2025-12-26T16:02:00Z</dcterms:created>
  <dcterms:modified xsi:type="dcterms:W3CDTF">2025-12-26T16:02:00Z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6092415272564199868EF301E471FA02_12</vt:lpwstr>
  </property>
</Properties>
</file>