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A4340">
      <w:pPr>
        <w:spacing w:line="360" w:lineRule="auto"/>
        <w:jc w:val="center"/>
        <w:rPr>
          <w:rFonts w:ascii="宋体" w:hAnsi="宋体"/>
        </w:rPr>
      </w:pPr>
      <w:r>
        <w:rPr>
          <w:rFonts w:ascii="宋体" w:hAnsi="宋体" w:hint="eastAsia"/>
          <w:b/>
          <w:color w:val="2B2B2B"/>
          <w:sz w:val="28"/>
          <w:szCs w:val="28"/>
        </w:rPr>
        <w:t>博时基金管理有限公司关于旗下基金投资关联方承销期内承销证券的公告</w:t>
      </w:r>
    </w:p>
    <w:p w:rsidR="00000000" w:rsidRDefault="004A4340">
      <w:pPr>
        <w:spacing w:line="360" w:lineRule="auto"/>
        <w:ind w:firstLineChars="200" w:firstLine="420"/>
        <w:jc w:val="left"/>
        <w:rPr>
          <w:rFonts w:ascii="宋体" w:hAnsi="宋体" w:hint="eastAsia"/>
          <w:color w:val="000000"/>
        </w:rPr>
      </w:pPr>
      <w:r>
        <w:rPr>
          <w:rFonts w:ascii="宋体" w:hAnsi="宋体" w:hint="eastAsia"/>
          <w:color w:val="000000"/>
        </w:rPr>
        <w:t>根据《中华人民共和国证券投资基金法》、《公开募集证券投资基金运作管理办法》、《公开募集证券投资基金信息披露管理办法》及相关基金基金合同、招募说明书等有关规定，经履行适当的审批程序，博时基金管理有限公司（以下简称“本公司”）旗下管理基金参与了蘅东光通讯技术</w:t>
      </w:r>
      <w:r>
        <w:rPr>
          <w:rFonts w:ascii="宋体" w:hAnsi="宋体" w:hint="eastAsia"/>
          <w:color w:val="000000"/>
        </w:rPr>
        <w:t>(</w:t>
      </w:r>
      <w:r>
        <w:rPr>
          <w:rFonts w:ascii="宋体" w:hAnsi="宋体" w:hint="eastAsia"/>
          <w:color w:val="000000"/>
        </w:rPr>
        <w:t>深圳</w:t>
      </w:r>
      <w:r>
        <w:rPr>
          <w:rFonts w:ascii="宋体" w:hAnsi="宋体" w:hint="eastAsia"/>
          <w:color w:val="000000"/>
        </w:rPr>
        <w:t>)</w:t>
      </w:r>
      <w:r>
        <w:rPr>
          <w:rFonts w:ascii="宋体" w:hAnsi="宋体" w:hint="eastAsia"/>
          <w:color w:val="000000"/>
        </w:rPr>
        <w:t>股份有限公司（以下简称“</w:t>
      </w:r>
      <w:r>
        <w:rPr>
          <w:rFonts w:ascii="宋体" w:hAnsi="宋体" w:hint="eastAsia"/>
          <w:color w:val="000000"/>
        </w:rPr>
        <w:t>蘅东光</w:t>
      </w:r>
      <w:r>
        <w:rPr>
          <w:rFonts w:ascii="宋体" w:hAnsi="宋体" w:hint="eastAsia"/>
          <w:color w:val="000000"/>
        </w:rPr>
        <w:t>”）</w:t>
      </w:r>
      <w:r>
        <w:rPr>
          <w:rFonts w:ascii="宋体" w:hAnsi="宋体" w:hint="eastAsia"/>
          <w:color w:val="000000"/>
        </w:rPr>
        <w:t>首次公开发行股票并在北京证券交易所上市的网上申购。</w:t>
      </w:r>
    </w:p>
    <w:p w:rsidR="00000000" w:rsidRDefault="004A4340">
      <w:pPr>
        <w:spacing w:line="360" w:lineRule="auto"/>
        <w:ind w:firstLineChars="200" w:firstLine="420"/>
        <w:jc w:val="left"/>
        <w:rPr>
          <w:rFonts w:ascii="宋体" w:hAnsi="宋体" w:hint="eastAsia"/>
          <w:color w:val="000000"/>
        </w:rPr>
      </w:pPr>
      <w:r>
        <w:rPr>
          <w:rFonts w:ascii="宋体" w:hAnsi="宋体" w:hint="eastAsia"/>
          <w:color w:val="000000"/>
        </w:rPr>
        <w:t>根据法律法规、基金合同及</w:t>
      </w:r>
      <w:r>
        <w:rPr>
          <w:rFonts w:ascii="宋体" w:hAnsi="宋体" w:hint="eastAsia"/>
          <w:color w:val="000000"/>
        </w:rPr>
        <w:t>蘅东光</w:t>
      </w:r>
      <w:r>
        <w:rPr>
          <w:rFonts w:ascii="宋体" w:hAnsi="宋体" w:hint="eastAsia"/>
          <w:color w:val="000000"/>
        </w:rPr>
        <w:t>于</w:t>
      </w:r>
      <w:r>
        <w:rPr>
          <w:rFonts w:ascii="宋体" w:hAnsi="宋体" w:hint="eastAsia"/>
          <w:color w:val="000000"/>
        </w:rPr>
        <w:t>2025</w:t>
      </w:r>
      <w:r>
        <w:rPr>
          <w:rFonts w:ascii="宋体" w:hAnsi="宋体" w:hint="eastAsia"/>
          <w:color w:val="000000"/>
        </w:rPr>
        <w:t>年</w:t>
      </w:r>
      <w:r>
        <w:rPr>
          <w:rFonts w:ascii="宋体" w:hAnsi="宋体" w:hint="eastAsia"/>
          <w:color w:val="000000"/>
        </w:rPr>
        <w:t>12</w:t>
      </w:r>
      <w:r>
        <w:rPr>
          <w:rFonts w:ascii="宋体" w:hAnsi="宋体" w:hint="eastAsia"/>
          <w:color w:val="000000"/>
        </w:rPr>
        <w:t>月</w:t>
      </w:r>
      <w:r>
        <w:rPr>
          <w:rFonts w:ascii="宋体" w:hAnsi="宋体" w:hint="eastAsia"/>
          <w:color w:val="000000"/>
        </w:rPr>
        <w:t>2</w:t>
      </w:r>
      <w:r>
        <w:rPr>
          <w:rFonts w:ascii="宋体" w:hAnsi="宋体" w:hint="eastAsia"/>
          <w:color w:val="000000"/>
        </w:rPr>
        <w:t>5</w:t>
      </w:r>
      <w:r>
        <w:rPr>
          <w:rFonts w:ascii="宋体" w:hAnsi="宋体" w:hint="eastAsia"/>
          <w:color w:val="000000"/>
        </w:rPr>
        <w:t>日发布的《</w:t>
      </w:r>
      <w:r>
        <w:rPr>
          <w:rFonts w:ascii="宋体" w:hAnsi="宋体" w:hint="eastAsia"/>
          <w:color w:val="000000"/>
        </w:rPr>
        <w:t>蘅东光通讯技术</w:t>
      </w:r>
      <w:r>
        <w:rPr>
          <w:rFonts w:ascii="宋体" w:hAnsi="宋体" w:hint="eastAsia"/>
          <w:color w:val="000000"/>
        </w:rPr>
        <w:t>(</w:t>
      </w:r>
      <w:r>
        <w:rPr>
          <w:rFonts w:ascii="宋体" w:hAnsi="宋体" w:hint="eastAsia"/>
          <w:color w:val="000000"/>
        </w:rPr>
        <w:t>深圳</w:t>
      </w:r>
      <w:r>
        <w:rPr>
          <w:rFonts w:ascii="宋体" w:hAnsi="宋体" w:hint="eastAsia"/>
          <w:color w:val="000000"/>
        </w:rPr>
        <w:t>)</w:t>
      </w:r>
      <w:r>
        <w:rPr>
          <w:rFonts w:ascii="宋体" w:hAnsi="宋体" w:hint="eastAsia"/>
          <w:color w:val="000000"/>
        </w:rPr>
        <w:t>股份有限公司</w:t>
      </w:r>
      <w:r>
        <w:rPr>
          <w:rFonts w:ascii="宋体" w:hAnsi="宋体" w:hint="eastAsia"/>
          <w:color w:val="000000"/>
        </w:rPr>
        <w:t>向</w:t>
      </w:r>
      <w:r>
        <w:rPr>
          <w:rFonts w:ascii="宋体" w:hAnsi="宋体" w:hint="eastAsia"/>
          <w:color w:val="000000"/>
        </w:rPr>
        <w:t>不特定合格投资者公开发行股票并在北京证券交易所上市发行结果公告</w:t>
      </w:r>
      <w:r>
        <w:rPr>
          <w:rFonts w:ascii="宋体" w:hAnsi="宋体" w:hint="eastAsia"/>
          <w:color w:val="000000"/>
        </w:rPr>
        <w:t>》，</w:t>
      </w:r>
      <w:r>
        <w:rPr>
          <w:rFonts w:ascii="宋体" w:hAnsi="宋体" w:hint="eastAsia"/>
          <w:color w:val="000000"/>
        </w:rPr>
        <w:t>蘅东光</w:t>
      </w:r>
      <w:r>
        <w:rPr>
          <w:rFonts w:ascii="宋体" w:hAnsi="宋体" w:hint="eastAsia"/>
          <w:color w:val="000000"/>
        </w:rPr>
        <w:t>发行的主承销商招商证券股份有限公司为以下</w:t>
      </w:r>
      <w:r>
        <w:rPr>
          <w:rFonts w:ascii="宋体" w:hAnsi="宋体" w:hint="eastAsia"/>
          <w:color w:val="000000"/>
        </w:rPr>
        <w:t>基金</w:t>
      </w:r>
      <w:r>
        <w:rPr>
          <w:rFonts w:ascii="宋体" w:hAnsi="宋体" w:hint="eastAsia"/>
          <w:color w:val="000000"/>
        </w:rPr>
        <w:t>管理人</w:t>
      </w:r>
      <w:r>
        <w:rPr>
          <w:rFonts w:ascii="宋体" w:hAnsi="宋体" w:hint="eastAsia"/>
          <w:color w:val="000000"/>
        </w:rPr>
        <w:t>的关联方</w:t>
      </w:r>
      <w:r>
        <w:rPr>
          <w:rFonts w:ascii="宋体" w:hAnsi="宋体" w:hint="eastAsia"/>
          <w:color w:val="000000"/>
        </w:rPr>
        <w:t>，</w:t>
      </w:r>
      <w:r>
        <w:rPr>
          <w:rFonts w:ascii="宋体" w:hAnsi="宋体" w:hint="eastAsia"/>
          <w:color w:val="000000"/>
        </w:rPr>
        <w:t>蘅东光</w:t>
      </w:r>
      <w:r>
        <w:rPr>
          <w:rFonts w:ascii="宋体" w:hAnsi="宋体" w:hint="eastAsia"/>
          <w:color w:val="000000"/>
        </w:rPr>
        <w:t>发行价格为人民币</w:t>
      </w:r>
      <w:r>
        <w:rPr>
          <w:rFonts w:ascii="宋体" w:hAnsi="宋体" w:hint="eastAsia"/>
          <w:color w:val="000000"/>
        </w:rPr>
        <w:t>31.59</w:t>
      </w:r>
      <w:r>
        <w:rPr>
          <w:rFonts w:ascii="宋体" w:hAnsi="宋体" w:hint="eastAsia"/>
          <w:color w:val="000000"/>
        </w:rPr>
        <w:t>元</w:t>
      </w:r>
      <w:r>
        <w:rPr>
          <w:rFonts w:ascii="宋体" w:hAnsi="宋体" w:hint="eastAsia"/>
          <w:color w:val="000000"/>
        </w:rPr>
        <w:t>/</w:t>
      </w:r>
      <w:r>
        <w:rPr>
          <w:rFonts w:ascii="宋体" w:hAnsi="宋体" w:hint="eastAsia"/>
          <w:color w:val="000000"/>
        </w:rPr>
        <w:t>股，现将本公司基金获配信息公告如下：</w:t>
      </w:r>
      <w:r>
        <w:rPr>
          <w:rFonts w:ascii="宋体" w:hAnsi="宋体" w:hint="eastAsia"/>
          <w:color w:val="000000"/>
        </w:rPr>
        <w:t xml:space="preserve"> </w:t>
      </w:r>
    </w:p>
    <w:p w:rsidR="00000000" w:rsidRDefault="004A4340">
      <w:pPr>
        <w:spacing w:line="360" w:lineRule="auto"/>
        <w:ind w:firstLineChars="200" w:firstLine="420"/>
        <w:jc w:val="left"/>
        <w:rPr>
          <w:rFonts w:ascii="宋体" w:hAnsi="宋体"/>
          <w:color w:val="000000"/>
        </w:rPr>
      </w:pPr>
    </w:p>
    <w:tbl>
      <w:tblPr>
        <w:tblW w:w="0" w:type="auto"/>
        <w:tblInd w:w="93" w:type="dxa"/>
        <w:tblLook w:val="0000"/>
      </w:tblPr>
      <w:tblGrid>
        <w:gridCol w:w="4964"/>
        <w:gridCol w:w="1700"/>
        <w:gridCol w:w="1965"/>
      </w:tblGrid>
      <w:tr w:rsidR="00000000">
        <w:trPr>
          <w:trHeight w:val="1365"/>
        </w:trPr>
        <w:tc>
          <w:tcPr>
            <w:tcW w:w="0" w:type="auto"/>
            <w:tcBorders>
              <w:top w:val="single" w:sz="8" w:space="0" w:color="666666"/>
              <w:left w:val="single" w:sz="8" w:space="0" w:color="666666"/>
              <w:bottom w:val="single" w:sz="8" w:space="0" w:color="666666"/>
              <w:right w:val="single" w:sz="8" w:space="0" w:color="666666"/>
            </w:tcBorders>
            <w:shd w:val="clear" w:color="auto" w:fill="DEDEDE"/>
            <w:vAlign w:val="center"/>
          </w:tcPr>
          <w:p w:rsidR="00000000" w:rsidRDefault="004A4340">
            <w:pPr>
              <w:jc w:val="left"/>
              <w:textAlignment w:val="center"/>
              <w:rPr>
                <w:rFonts w:ascii="Verdana" w:hAnsi="Verdana" w:cs="Verdana"/>
                <w:b/>
                <w:color w:val="333333"/>
                <w:sz w:val="22"/>
                <w:szCs w:val="22"/>
              </w:rPr>
            </w:pPr>
            <w:r>
              <w:rPr>
                <w:rFonts w:ascii="Verdana" w:hAnsi="Verdana" w:cs="Verdana"/>
                <w:b/>
                <w:color w:val="333333"/>
                <w:sz w:val="22"/>
                <w:szCs w:val="22"/>
              </w:rPr>
              <w:t>基金名称</w:t>
            </w:r>
          </w:p>
        </w:tc>
        <w:tc>
          <w:tcPr>
            <w:tcW w:w="0" w:type="auto"/>
            <w:tcBorders>
              <w:top w:val="single" w:sz="8" w:space="0" w:color="666666"/>
              <w:left w:val="single" w:sz="8" w:space="0" w:color="666666"/>
              <w:bottom w:val="single" w:sz="8" w:space="0" w:color="666666"/>
              <w:right w:val="single" w:sz="8" w:space="0" w:color="666666"/>
            </w:tcBorders>
            <w:shd w:val="clear" w:color="auto" w:fill="DEDEDE"/>
            <w:vAlign w:val="center"/>
          </w:tcPr>
          <w:p w:rsidR="00000000" w:rsidRDefault="004A4340">
            <w:pPr>
              <w:jc w:val="left"/>
              <w:textAlignment w:val="center"/>
              <w:rPr>
                <w:rFonts w:ascii="Verdana" w:hAnsi="Verdana" w:cs="Verdana"/>
                <w:b/>
                <w:color w:val="333333"/>
                <w:sz w:val="22"/>
                <w:szCs w:val="22"/>
              </w:rPr>
            </w:pPr>
            <w:r>
              <w:rPr>
                <w:rFonts w:ascii="Verdana" w:hAnsi="Verdana" w:cs="Verdana"/>
                <w:b/>
                <w:color w:val="333333"/>
                <w:sz w:val="22"/>
                <w:szCs w:val="22"/>
              </w:rPr>
              <w:t>获配数量（股）</w:t>
            </w:r>
          </w:p>
        </w:tc>
        <w:tc>
          <w:tcPr>
            <w:tcW w:w="0" w:type="auto"/>
            <w:tcBorders>
              <w:top w:val="single" w:sz="8" w:space="0" w:color="666666"/>
              <w:left w:val="single" w:sz="8" w:space="0" w:color="666666"/>
              <w:bottom w:val="single" w:sz="8" w:space="0" w:color="666666"/>
              <w:right w:val="single" w:sz="8" w:space="0" w:color="666666"/>
            </w:tcBorders>
            <w:shd w:val="clear" w:color="auto" w:fill="DEDEDE"/>
            <w:vAlign w:val="center"/>
          </w:tcPr>
          <w:p w:rsidR="00000000" w:rsidRDefault="004A4340">
            <w:pPr>
              <w:jc w:val="left"/>
              <w:textAlignment w:val="center"/>
              <w:rPr>
                <w:rFonts w:ascii="Verdana" w:hAnsi="Verdana" w:cs="Verdana"/>
                <w:b/>
                <w:color w:val="333333"/>
                <w:sz w:val="22"/>
                <w:szCs w:val="22"/>
              </w:rPr>
            </w:pPr>
            <w:r>
              <w:rPr>
                <w:rFonts w:ascii="Verdana" w:hAnsi="Verdana" w:cs="Verdana"/>
                <w:b/>
                <w:color w:val="333333"/>
                <w:sz w:val="22"/>
                <w:szCs w:val="22"/>
              </w:rPr>
              <w:t>获配金额（元）</w:t>
            </w:r>
          </w:p>
        </w:tc>
      </w:tr>
      <w:tr w:rsidR="00000000">
        <w:trPr>
          <w:trHeight w:val="2205"/>
        </w:trPr>
        <w:tc>
          <w:tcPr>
            <w:tcW w:w="5308"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000000" w:rsidRDefault="004A4340">
            <w:pPr>
              <w:jc w:val="left"/>
              <w:textAlignment w:val="center"/>
              <w:rPr>
                <w:rFonts w:ascii="Verdana" w:hAnsi="Verdana" w:cs="Verdana"/>
                <w:color w:val="333333"/>
                <w:sz w:val="22"/>
                <w:szCs w:val="22"/>
              </w:rPr>
            </w:pPr>
            <w:r>
              <w:rPr>
                <w:rFonts w:ascii="Verdana" w:hAnsi="Verdana" w:cs="Verdana"/>
                <w:color w:val="333333"/>
                <w:sz w:val="22"/>
                <w:szCs w:val="22"/>
                <w:lang/>
              </w:rPr>
              <w:t>博时量化多策略股票型证券投资基金</w:t>
            </w:r>
          </w:p>
        </w:tc>
        <w:tc>
          <w:tcPr>
            <w:tcW w:w="1273"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000000" w:rsidRDefault="004A4340">
            <w:pPr>
              <w:jc w:val="right"/>
              <w:textAlignment w:val="center"/>
              <w:rPr>
                <w:rFonts w:ascii="Verdana" w:hAnsi="Verdana" w:cs="Verdana"/>
                <w:color w:val="333333"/>
                <w:sz w:val="22"/>
                <w:szCs w:val="22"/>
              </w:rPr>
            </w:pPr>
            <w:r>
              <w:rPr>
                <w:rFonts w:ascii="Verdana" w:hAnsi="Verdana" w:cs="Verdana"/>
                <w:color w:val="333333"/>
                <w:sz w:val="22"/>
                <w:szCs w:val="22"/>
                <w:lang/>
              </w:rPr>
              <w:t>200</w:t>
            </w:r>
          </w:p>
        </w:tc>
        <w:tc>
          <w:tcPr>
            <w:tcW w:w="2048"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000000" w:rsidRDefault="004A4340">
            <w:pPr>
              <w:jc w:val="right"/>
              <w:textAlignment w:val="center"/>
              <w:rPr>
                <w:rFonts w:ascii="Verdana" w:hAnsi="Verdana" w:cs="Verdana"/>
                <w:color w:val="333333"/>
                <w:sz w:val="22"/>
                <w:szCs w:val="22"/>
              </w:rPr>
            </w:pPr>
            <w:r>
              <w:rPr>
                <w:rFonts w:ascii="Verdana" w:hAnsi="Verdana" w:cs="Verdana"/>
                <w:color w:val="333333"/>
                <w:sz w:val="22"/>
                <w:szCs w:val="22"/>
                <w:lang/>
              </w:rPr>
              <w:t>6318</w:t>
            </w:r>
          </w:p>
        </w:tc>
      </w:tr>
      <w:tr w:rsidR="00000000">
        <w:trPr>
          <w:trHeight w:val="2205"/>
        </w:trPr>
        <w:tc>
          <w:tcPr>
            <w:tcW w:w="5308"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000000" w:rsidRDefault="004A4340">
            <w:pPr>
              <w:jc w:val="left"/>
              <w:textAlignment w:val="center"/>
              <w:rPr>
                <w:rFonts w:ascii="Verdana" w:hAnsi="Verdana" w:cs="Verdana"/>
                <w:color w:val="333333"/>
                <w:sz w:val="22"/>
                <w:szCs w:val="22"/>
              </w:rPr>
            </w:pPr>
            <w:r>
              <w:rPr>
                <w:rFonts w:ascii="Verdana" w:hAnsi="Verdana" w:cs="Verdana"/>
                <w:color w:val="333333"/>
                <w:sz w:val="22"/>
                <w:szCs w:val="22"/>
                <w:lang/>
              </w:rPr>
              <w:t>博时专精特新主题混合型证券投资基金</w:t>
            </w:r>
          </w:p>
        </w:tc>
        <w:tc>
          <w:tcPr>
            <w:tcW w:w="1273"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000000" w:rsidRDefault="004A4340">
            <w:pPr>
              <w:jc w:val="right"/>
              <w:textAlignment w:val="center"/>
              <w:rPr>
                <w:rFonts w:ascii="Verdana" w:hAnsi="Verdana" w:cs="Verdana"/>
                <w:color w:val="333333"/>
                <w:sz w:val="22"/>
                <w:szCs w:val="22"/>
              </w:rPr>
            </w:pPr>
            <w:r>
              <w:rPr>
                <w:rFonts w:ascii="Verdana" w:hAnsi="Verdana" w:cs="Verdana"/>
                <w:color w:val="333333"/>
                <w:sz w:val="22"/>
                <w:szCs w:val="22"/>
                <w:lang/>
              </w:rPr>
              <w:t>200</w:t>
            </w:r>
          </w:p>
        </w:tc>
        <w:tc>
          <w:tcPr>
            <w:tcW w:w="2048"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000000" w:rsidRDefault="004A4340">
            <w:pPr>
              <w:jc w:val="right"/>
              <w:textAlignment w:val="center"/>
              <w:rPr>
                <w:rFonts w:ascii="Verdana" w:hAnsi="Verdana" w:cs="Verdana"/>
                <w:color w:val="333333"/>
                <w:sz w:val="22"/>
                <w:szCs w:val="22"/>
              </w:rPr>
            </w:pPr>
            <w:r>
              <w:rPr>
                <w:rFonts w:ascii="Verdana" w:hAnsi="Verdana" w:cs="Verdana"/>
                <w:color w:val="333333"/>
                <w:sz w:val="22"/>
                <w:szCs w:val="22"/>
                <w:lang/>
              </w:rPr>
              <w:t>6318</w:t>
            </w:r>
          </w:p>
        </w:tc>
      </w:tr>
      <w:tr w:rsidR="00000000">
        <w:trPr>
          <w:trHeight w:val="2205"/>
        </w:trPr>
        <w:tc>
          <w:tcPr>
            <w:tcW w:w="5308"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000000" w:rsidRDefault="004A4340">
            <w:pPr>
              <w:jc w:val="left"/>
              <w:textAlignment w:val="center"/>
              <w:rPr>
                <w:rFonts w:ascii="Verdana" w:hAnsi="Verdana" w:cs="Verdana"/>
                <w:color w:val="333333"/>
                <w:sz w:val="22"/>
                <w:szCs w:val="22"/>
              </w:rPr>
            </w:pPr>
            <w:r>
              <w:rPr>
                <w:rFonts w:ascii="Verdana" w:hAnsi="Verdana" w:cs="Verdana"/>
                <w:color w:val="333333"/>
                <w:sz w:val="22"/>
                <w:szCs w:val="22"/>
                <w:lang/>
              </w:rPr>
              <w:lastRenderedPageBreak/>
              <w:t>博时稳健增利债券型证券投资基金</w:t>
            </w:r>
          </w:p>
        </w:tc>
        <w:tc>
          <w:tcPr>
            <w:tcW w:w="1273"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000000" w:rsidRDefault="004A4340">
            <w:pPr>
              <w:jc w:val="right"/>
              <w:textAlignment w:val="center"/>
              <w:rPr>
                <w:rFonts w:ascii="Verdana" w:hAnsi="Verdana" w:cs="Verdana"/>
                <w:color w:val="333333"/>
                <w:sz w:val="22"/>
                <w:szCs w:val="22"/>
              </w:rPr>
            </w:pPr>
            <w:r>
              <w:rPr>
                <w:rFonts w:ascii="Verdana" w:hAnsi="Verdana" w:cs="Verdana"/>
                <w:color w:val="333333"/>
                <w:sz w:val="22"/>
                <w:szCs w:val="22"/>
                <w:lang/>
              </w:rPr>
              <w:t>200</w:t>
            </w:r>
          </w:p>
        </w:tc>
        <w:tc>
          <w:tcPr>
            <w:tcW w:w="2048"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000000" w:rsidRDefault="004A4340">
            <w:pPr>
              <w:jc w:val="right"/>
              <w:textAlignment w:val="center"/>
              <w:rPr>
                <w:rFonts w:ascii="Verdana" w:hAnsi="Verdana" w:cs="Verdana"/>
                <w:color w:val="333333"/>
                <w:sz w:val="22"/>
                <w:szCs w:val="22"/>
              </w:rPr>
            </w:pPr>
            <w:r>
              <w:rPr>
                <w:rFonts w:ascii="Verdana" w:hAnsi="Verdana" w:cs="Verdana"/>
                <w:color w:val="333333"/>
                <w:sz w:val="22"/>
                <w:szCs w:val="22"/>
                <w:lang/>
              </w:rPr>
              <w:t>6318</w:t>
            </w:r>
          </w:p>
        </w:tc>
      </w:tr>
    </w:tbl>
    <w:p w:rsidR="00000000" w:rsidRDefault="004A4340">
      <w:pPr>
        <w:spacing w:line="360" w:lineRule="auto"/>
        <w:ind w:firstLineChars="200" w:firstLine="420"/>
        <w:jc w:val="left"/>
        <w:rPr>
          <w:rFonts w:ascii="宋体" w:hAnsi="宋体"/>
          <w:color w:val="000000"/>
        </w:rPr>
      </w:pPr>
    </w:p>
    <w:p w:rsidR="00000000" w:rsidRDefault="004A4340">
      <w:pPr>
        <w:spacing w:line="360" w:lineRule="auto"/>
        <w:ind w:firstLineChars="200" w:firstLine="420"/>
        <w:jc w:val="left"/>
        <w:rPr>
          <w:rFonts w:ascii="宋体" w:hAnsi="宋体" w:hint="eastAsia"/>
          <w:color w:val="000000"/>
        </w:rPr>
      </w:pPr>
      <w:r>
        <w:rPr>
          <w:rFonts w:ascii="宋体" w:hAnsi="宋体"/>
          <w:color w:val="000000"/>
        </w:rPr>
        <w:t>特此公告。</w:t>
      </w:r>
    </w:p>
    <w:p w:rsidR="00000000" w:rsidRDefault="004A4340">
      <w:pPr>
        <w:spacing w:line="360" w:lineRule="auto"/>
        <w:jc w:val="left"/>
        <w:rPr>
          <w:rFonts w:ascii="宋体" w:hAnsi="宋体"/>
        </w:rPr>
      </w:pPr>
    </w:p>
    <w:p w:rsidR="00000000" w:rsidRDefault="004A4340">
      <w:pPr>
        <w:spacing w:line="360" w:lineRule="auto"/>
        <w:ind w:firstLineChars="200" w:firstLine="420"/>
        <w:jc w:val="left"/>
        <w:rPr>
          <w:rFonts w:ascii="宋体" w:hAnsi="宋体"/>
        </w:rPr>
      </w:pPr>
      <w:r>
        <w:rPr>
          <w:rFonts w:ascii="宋体" w:hAnsi="宋体" w:hint="eastAsia"/>
        </w:rPr>
        <w:t xml:space="preserve"> </w:t>
      </w:r>
      <w:r>
        <w:rPr>
          <w:rFonts w:ascii="宋体" w:hAnsi="宋体" w:hint="eastAsia"/>
        </w:rPr>
        <w:t xml:space="preserve">                                       </w:t>
      </w:r>
      <w:r>
        <w:rPr>
          <w:rFonts w:ascii="宋体" w:hAnsi="宋体" w:hint="eastAsia"/>
        </w:rPr>
        <w:t xml:space="preserve">               </w:t>
      </w:r>
      <w:r>
        <w:rPr>
          <w:rFonts w:ascii="宋体" w:hAnsi="宋体" w:hint="eastAsia"/>
        </w:rPr>
        <w:t>博时基金管理有限公司</w:t>
      </w:r>
    </w:p>
    <w:p w:rsidR="00000000" w:rsidRDefault="004A4340">
      <w:pPr>
        <w:ind w:firstLineChars="3200" w:firstLine="6720"/>
        <w:jc w:val="left"/>
        <w:sectPr w:rsidR="00000000">
          <w:pgSz w:w="11906" w:h="16838"/>
          <w:pgMar w:top="1440" w:right="1800" w:bottom="1440" w:left="1600" w:header="851" w:footer="992" w:gutter="0"/>
          <w:pgNumType w:start="1"/>
          <w:cols w:space="720"/>
          <w:docGrid w:type="lines" w:linePitch="312"/>
        </w:sectPr>
      </w:pPr>
      <w:r>
        <w:rPr>
          <w:rFonts w:ascii="宋体" w:hAnsi="宋体" w:hint="eastAsia"/>
        </w:rPr>
        <w:t>2025</w:t>
      </w:r>
      <w:r>
        <w:rPr>
          <w:rFonts w:ascii="宋体" w:hAnsi="宋体" w:hint="eastAsia"/>
        </w:rPr>
        <w:t>年</w:t>
      </w:r>
      <w:r>
        <w:rPr>
          <w:rFonts w:ascii="宋体" w:hAnsi="宋体" w:hint="eastAsia"/>
        </w:rPr>
        <w:t>12</w:t>
      </w:r>
      <w:r>
        <w:rPr>
          <w:rFonts w:ascii="宋体" w:hAnsi="宋体" w:hint="eastAsia"/>
        </w:rPr>
        <w:t>月</w:t>
      </w:r>
      <w:r>
        <w:rPr>
          <w:rFonts w:ascii="宋体" w:hAnsi="宋体" w:hint="eastAsia"/>
        </w:rPr>
        <w:t>2</w:t>
      </w:r>
      <w:r>
        <w:rPr>
          <w:rFonts w:ascii="宋体" w:hAnsi="宋体" w:hint="eastAsia"/>
        </w:rPr>
        <w:t>7</w:t>
      </w:r>
      <w:r>
        <w:rPr>
          <w:rFonts w:ascii="宋体" w:hAnsi="宋体" w:hint="eastAsia"/>
        </w:rPr>
        <w:t>日</w:t>
      </w:r>
    </w:p>
    <w:p w:rsidR="00000000" w:rsidRDefault="004A4340">
      <w:pPr>
        <w:ind w:right="840"/>
        <w:jc w:val="left"/>
        <w:rPr>
          <w:rFonts w:ascii="宋体" w:hAnsi="宋体"/>
        </w:rPr>
      </w:pPr>
    </w:p>
    <w:p w:rsidR="00000000" w:rsidRDefault="004A4340">
      <w:pPr>
        <w:ind w:right="840"/>
        <w:jc w:val="left"/>
        <w:rPr>
          <w:rFonts w:ascii="宋体" w:hAnsi="宋体"/>
        </w:rPr>
      </w:pPr>
    </w:p>
    <w:sectPr w:rsidR="00000000">
      <w:type w:val="continuous"/>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trackRevisions/>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A4340"/>
    <w:rsid w:val="004A4340"/>
    <w:rsid w:val="052D4EEB"/>
    <w:rsid w:val="442D3C6B"/>
    <w:rsid w:val="47887349"/>
    <w:rsid w:val="5E0E16F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jc w:val="both"/>
    </w:pPr>
    <w:rPr>
      <w:rFonts w:ascii="Calibri" w:hAnsi="Calibri" w:cs="宋体"/>
      <w:sz w:val="21"/>
      <w:szCs w:val="21"/>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character" w:customStyle="1" w:styleId="Char">
    <w:name w:val="批注文字 Char"/>
    <w:basedOn w:val="a0"/>
    <w:link w:val="a3"/>
    <w:rPr>
      <w:rFonts w:ascii="Calibri" w:eastAsia="宋体" w:hAnsi="Calibri" w:cs="宋体" w:hint="default"/>
      <w:kern w:val="0"/>
      <w:szCs w:val="21"/>
    </w:rPr>
  </w:style>
  <w:style w:type="paragraph" w:styleId="a4">
    <w:name w:val="Balloon Text"/>
    <w:basedOn w:val="a"/>
    <w:link w:val="Char0"/>
    <w:rPr>
      <w:sz w:val="18"/>
      <w:szCs w:val="18"/>
    </w:rPr>
  </w:style>
  <w:style w:type="character" w:customStyle="1" w:styleId="Char0">
    <w:name w:val="批注框文本 Char"/>
    <w:basedOn w:val="a0"/>
    <w:link w:val="a4"/>
    <w:rPr>
      <w:rFonts w:ascii="Calibri" w:eastAsia="宋体" w:hAnsi="Calibri" w:cs="宋体" w:hint="default"/>
      <w:kern w:val="0"/>
      <w:sz w:val="18"/>
      <w:szCs w:val="18"/>
    </w:rPr>
  </w:style>
  <w:style w:type="paragraph" w:styleId="a5">
    <w:name w:val="footer"/>
    <w:basedOn w:val="a"/>
    <w:link w:val="Char1"/>
    <w:pPr>
      <w:snapToGrid w:val="0"/>
      <w:jc w:val="left"/>
    </w:pPr>
    <w:rPr>
      <w:sz w:val="18"/>
      <w:szCs w:val="18"/>
    </w:rPr>
  </w:style>
  <w:style w:type="character" w:customStyle="1" w:styleId="Char1">
    <w:name w:val="页脚 Char"/>
    <w:basedOn w:val="a0"/>
    <w:link w:val="a5"/>
    <w:rPr>
      <w:rFonts w:ascii="Calibri" w:eastAsia="宋体" w:hAnsi="Calibri" w:cs="宋体" w:hint="default"/>
      <w:kern w:val="0"/>
      <w:sz w:val="18"/>
      <w:szCs w:val="18"/>
    </w:rPr>
  </w:style>
  <w:style w:type="paragraph" w:styleId="a6">
    <w:name w:val="header"/>
    <w:basedOn w:val="a"/>
    <w:link w:val="Char2"/>
    <w:pPr>
      <w:pBdr>
        <w:bottom w:val="single" w:sz="6" w:space="1" w:color="auto"/>
      </w:pBdr>
      <w:snapToGrid w:val="0"/>
      <w:jc w:val="center"/>
    </w:pPr>
    <w:rPr>
      <w:sz w:val="18"/>
      <w:szCs w:val="18"/>
    </w:rPr>
  </w:style>
  <w:style w:type="character" w:customStyle="1" w:styleId="Char2">
    <w:name w:val="页眉 Char"/>
    <w:basedOn w:val="a0"/>
    <w:link w:val="a6"/>
    <w:rPr>
      <w:rFonts w:ascii="Calibri" w:eastAsia="宋体" w:hAnsi="Calibri" w:cs="宋体" w:hint="default"/>
      <w:kern w:val="0"/>
      <w:sz w:val="18"/>
      <w:szCs w:val="18"/>
    </w:rPr>
  </w:style>
  <w:style w:type="table" w:styleId="a7">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Pr>
      <w:b/>
    </w:rPr>
  </w:style>
  <w:style w:type="character" w:styleId="a9">
    <w:name w:val="annotation reference"/>
    <w:basedOn w:val="a0"/>
    <w:rPr>
      <w:sz w:val="21"/>
      <w:szCs w:val="21"/>
    </w:rPr>
  </w:style>
  <w:style w:type="paragraph" w:customStyle="1" w:styleId="annotationsubject">
    <w:name w:val="annotation subject"/>
    <w:basedOn w:val="a3"/>
    <w:next w:val="a3"/>
    <w:link w:val="Char3"/>
    <w:rPr>
      <w:b/>
    </w:rPr>
  </w:style>
  <w:style w:type="character" w:customStyle="1" w:styleId="Char3">
    <w:name w:val="批注主题 Char"/>
    <w:basedOn w:val="Char"/>
    <w:link w:val="annotationsubject"/>
    <w:rPr>
      <w:rFonts w:ascii="Calibri" w:eastAsia="宋体" w:hAnsi="Calibri" w:cs="宋体" w:hint="default"/>
      <w:b/>
      <w:kern w:val="0"/>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Words>
  <Characters>470</Characters>
  <Application>Microsoft Office Word</Application>
  <DocSecurity>4</DocSecurity>
  <Lines>3</Lines>
  <Paragraphs>1</Paragraphs>
  <ScaleCrop>false</ScaleCrop>
  <Company>Microsoft</Company>
  <LinksUpToDate>false</LinksUpToDate>
  <CharactersWithSpaces>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wanghq</dc:creator>
  <cp:keywords/>
  <cp:lastModifiedBy>ZHONGM</cp:lastModifiedBy>
  <cp:revision>2</cp:revision>
  <cp:lastPrinted>2021-12-03T02:51:00Z</cp:lastPrinted>
  <dcterms:created xsi:type="dcterms:W3CDTF">2025-12-26T16:02:00Z</dcterms:created>
  <dcterms:modified xsi:type="dcterms:W3CDTF">2025-12-26T16:02:00Z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E3A1377782B84DB69262579E5B8120BE</vt:lpwstr>
  </property>
</Properties>
</file>