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DA" w:rsidRDefault="00B10115">
      <w:pPr>
        <w:jc w:val="both"/>
        <w:rPr>
          <w:lang w:eastAsia="zh-CN"/>
        </w:rPr>
      </w:pPr>
      <w:bookmarkStart w:id="0" w:name="_GoBack"/>
      <w:bookmarkEnd w:id="0"/>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center"/>
        <w:rPr>
          <w:sz w:val="48"/>
          <w:szCs w:val="48"/>
          <w:lang w:eastAsia="zh-CN"/>
        </w:rPr>
      </w:pPr>
      <w:r>
        <w:rPr>
          <w:rFonts w:ascii="宋体" w:eastAsia="宋体" w:hAnsi="宋体" w:cs="宋体"/>
          <w:b/>
          <w:bCs/>
          <w:sz w:val="48"/>
          <w:szCs w:val="48"/>
          <w:lang w:eastAsia="zh-CN"/>
        </w:rPr>
        <w:t>鹏华上证科创板100指数增强型证券投资基金基金合同生</w:t>
      </w:r>
      <w:r>
        <w:rPr>
          <w:rFonts w:ascii="宋体" w:eastAsia="宋体" w:hAnsi="宋体" w:cs="宋体"/>
          <w:b/>
          <w:bCs/>
          <w:vanish/>
          <w:sz w:val="48"/>
          <w:szCs w:val="48"/>
          <w:lang w:eastAsia="zh-CN"/>
        </w:rPr>
        <w:t> </w:t>
      </w:r>
      <w:r>
        <w:rPr>
          <w:rFonts w:ascii="宋体" w:eastAsia="宋体" w:hAnsi="宋体" w:cs="宋体"/>
          <w:b/>
          <w:bCs/>
          <w:sz w:val="48"/>
          <w:szCs w:val="48"/>
          <w:lang w:eastAsia="zh-CN"/>
        </w:rPr>
        <w:t>效公告</w:t>
      </w:r>
    </w:p>
    <w:p w:rsidR="002E10DA" w:rsidRDefault="00B10115">
      <w:pPr>
        <w:jc w:val="center"/>
        <w:rPr>
          <w:sz w:val="30"/>
          <w:szCs w:val="30"/>
          <w:lang w:eastAsia="zh-CN"/>
        </w:rPr>
      </w:pPr>
      <w:r>
        <w:rPr>
          <w:rFonts w:eastAsia="Times New Roman"/>
          <w:sz w:val="30"/>
          <w:szCs w:val="30"/>
          <w:lang w:eastAsia="zh-CN"/>
        </w:rPr>
        <w:t> </w:t>
      </w:r>
    </w:p>
    <w:p w:rsidR="002E10DA" w:rsidRDefault="00B10115">
      <w:pPr>
        <w:jc w:val="center"/>
        <w:rPr>
          <w:sz w:val="30"/>
          <w:szCs w:val="30"/>
          <w:lang w:eastAsia="zh-CN"/>
        </w:rPr>
      </w:pPr>
      <w:r>
        <w:rPr>
          <w:rFonts w:eastAsia="Times New Roman"/>
          <w:sz w:val="30"/>
          <w:szCs w:val="30"/>
          <w:lang w:eastAsia="zh-CN"/>
        </w:rPr>
        <w:t> </w:t>
      </w:r>
    </w:p>
    <w:p w:rsidR="002E10DA" w:rsidRDefault="00B10115">
      <w:pPr>
        <w:jc w:val="center"/>
        <w:rPr>
          <w:sz w:val="30"/>
          <w:szCs w:val="30"/>
          <w:lang w:eastAsia="zh-CN"/>
        </w:rPr>
      </w:pPr>
      <w:r>
        <w:rPr>
          <w:rFonts w:eastAsia="Times New Roman"/>
          <w:sz w:val="30"/>
          <w:szCs w:val="30"/>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rFonts w:eastAsia="Times New Roman"/>
          <w:lang w:eastAsia="zh-CN"/>
        </w:rPr>
      </w:pPr>
      <w:r>
        <w:rPr>
          <w:rFonts w:eastAsia="Times New Roman"/>
          <w:lang w:eastAsia="zh-CN"/>
        </w:rPr>
        <w:t> </w:t>
      </w:r>
    </w:p>
    <w:p w:rsidR="006C60AC" w:rsidRDefault="006C60AC">
      <w:pPr>
        <w:jc w:val="both"/>
        <w:rPr>
          <w:lang w:eastAsia="zh-CN"/>
        </w:rPr>
      </w:pP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both"/>
        <w:rPr>
          <w:lang w:eastAsia="zh-CN"/>
        </w:rPr>
      </w:pPr>
      <w:r>
        <w:rPr>
          <w:rFonts w:eastAsia="Times New Roman"/>
          <w:lang w:eastAsia="zh-CN"/>
        </w:rPr>
        <w:t> </w:t>
      </w:r>
    </w:p>
    <w:p w:rsidR="002E10DA" w:rsidRDefault="00B10115">
      <w:pPr>
        <w:jc w:val="center"/>
        <w:rPr>
          <w:sz w:val="28"/>
          <w:szCs w:val="28"/>
        </w:rPr>
      </w:pPr>
      <w:r>
        <w:rPr>
          <w:rFonts w:ascii="宋体" w:eastAsia="宋体" w:hAnsi="宋体" w:cs="宋体"/>
          <w:b/>
          <w:bCs/>
          <w:sz w:val="28"/>
          <w:szCs w:val="28"/>
          <w:lang w:eastAsia="zh-CN"/>
        </w:rPr>
        <w:t>公告送出日期：2025年12月27日</w:t>
      </w:r>
    </w:p>
    <w:p w:rsidR="002E10DA" w:rsidRDefault="00B10115">
      <w:pPr>
        <w:jc w:val="both"/>
      </w:pPr>
      <w:r>
        <w:rPr>
          <w:rFonts w:eastAsia="Times New Roman"/>
          <w:lang w:eastAsia="zh-CN"/>
        </w:rPr>
        <w:t> </w:t>
      </w:r>
    </w:p>
    <w:p w:rsidR="002E10DA" w:rsidRDefault="00B10115">
      <w:pPr>
        <w:jc w:val="both"/>
      </w:pPr>
      <w:r>
        <w:rPr>
          <w:rFonts w:eastAsia="Times New Roman"/>
          <w:lang w:eastAsia="zh-CN"/>
        </w:rPr>
        <w:t> </w:t>
      </w:r>
    </w:p>
    <w:p w:rsidR="002E10DA" w:rsidRDefault="00B10115">
      <w:pPr>
        <w:jc w:val="both"/>
      </w:pPr>
      <w:r>
        <w:rPr>
          <w:rFonts w:eastAsia="Times New Roman"/>
          <w:lang w:eastAsia="zh-CN"/>
        </w:rPr>
        <w:t> </w:t>
      </w:r>
    </w:p>
    <w:p w:rsidR="002E10DA" w:rsidRDefault="00B10115">
      <w:pPr>
        <w:jc w:val="both"/>
      </w:pPr>
      <w:r>
        <w:rPr>
          <w:rFonts w:eastAsia="Times New Roman"/>
          <w:lang w:eastAsia="zh-CN"/>
        </w:rPr>
        <w:t> </w:t>
      </w:r>
    </w:p>
    <w:p w:rsidR="002E10DA" w:rsidRDefault="00B10115">
      <w:pPr>
        <w:jc w:val="both"/>
        <w:rPr>
          <w:rFonts w:eastAsia="Times New Roman"/>
          <w:lang w:eastAsia="zh-CN"/>
        </w:rPr>
      </w:pPr>
      <w:r>
        <w:rPr>
          <w:rFonts w:eastAsia="Times New Roman"/>
          <w:lang w:eastAsia="zh-CN"/>
        </w:rPr>
        <w:t> </w:t>
      </w:r>
    </w:p>
    <w:p w:rsidR="006C60AC" w:rsidRDefault="006C60AC">
      <w:pPr>
        <w:jc w:val="both"/>
      </w:pPr>
    </w:p>
    <w:p w:rsidR="006C60AC" w:rsidRDefault="006C60AC">
      <w:pPr>
        <w:jc w:val="both"/>
      </w:pPr>
    </w:p>
    <w:p w:rsidR="006C60AC" w:rsidRDefault="006C60AC">
      <w:pPr>
        <w:jc w:val="both"/>
      </w:pPr>
    </w:p>
    <w:p w:rsidR="002E10DA" w:rsidRDefault="00B10115">
      <w:pPr>
        <w:jc w:val="both"/>
      </w:pPr>
      <w:r>
        <w:rPr>
          <w:rFonts w:eastAsia="Times New Roman"/>
          <w:lang w:eastAsia="zh-CN"/>
        </w:rPr>
        <w:t> </w:t>
      </w:r>
    </w:p>
    <w:p w:rsidR="002E10DA" w:rsidRDefault="00B10115">
      <w:pPr>
        <w:jc w:val="both"/>
      </w:pPr>
      <w:r>
        <w:rPr>
          <w:rFonts w:eastAsia="Times New Roman"/>
          <w:lang w:eastAsia="zh-CN"/>
        </w:rPr>
        <w:t> </w:t>
      </w:r>
    </w:p>
    <w:p w:rsidR="002E10DA" w:rsidRDefault="00B10115">
      <w:pPr>
        <w:keepNext/>
        <w:spacing w:before="156" w:after="156"/>
      </w:pPr>
      <w:r>
        <w:rPr>
          <w:rFonts w:ascii="Cambria" w:eastAsia="Cambria" w:hAnsi="Cambria" w:cs="Cambria"/>
          <w:b/>
          <w:bCs/>
          <w:lang w:eastAsia="zh-CN"/>
        </w:rPr>
        <w:lastRenderedPageBreak/>
        <w:t>1.</w:t>
      </w:r>
      <w:r>
        <w:rPr>
          <w:b/>
          <w:bCs/>
          <w:sz w:val="14"/>
          <w:szCs w:val="14"/>
          <w:lang w:eastAsia="zh-CN"/>
        </w:rPr>
        <w:t xml:space="preserve">     </w:t>
      </w:r>
      <w:r>
        <w:rPr>
          <w:rFonts w:ascii="宋体" w:eastAsia="宋体" w:hAnsi="宋体" w:cs="宋体"/>
          <w:b/>
          <w:bCs/>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885"/>
        <w:gridCol w:w="2135"/>
        <w:gridCol w:w="2135"/>
        <w:gridCol w:w="2135"/>
      </w:tblGrid>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鹏华上证科创板100指数增强型证券投资基金</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026147</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契约型开放式</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2025年12月26日</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交通银行股份有限公司</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中华人民共和国证券投资基金法》、《公开募集证券投资基金运作管理办法》等相关法律、法规的规定以及《鹏华上证科创板100指数增强型证券投资基金基金合同》、《鹏华上证科创板100指数增强型证券投资基金招募说明书》</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鹏华上证科创板100指数增强C</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鹏华上证科创板100指数增强I</w:t>
            </w:r>
          </w:p>
        </w:tc>
      </w:tr>
      <w:tr w:rsidR="002E10DA">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026147</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026148</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026149</w:t>
            </w:r>
          </w:p>
        </w:tc>
      </w:tr>
    </w:tbl>
    <w:p w:rsidR="002E10DA" w:rsidRDefault="00B10115">
      <w:pPr>
        <w:keepNext/>
        <w:spacing w:before="156" w:after="156"/>
      </w:pPr>
      <w:r>
        <w:rPr>
          <w:rFonts w:ascii="宋体" w:eastAsia="宋体" w:hAnsi="宋体" w:cs="宋体"/>
          <w:b/>
          <w:bCs/>
          <w:lang w:eastAsia="zh-CN"/>
        </w:rPr>
        <w:t>2.基金募集情况</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68"/>
        <w:gridCol w:w="967"/>
        <w:gridCol w:w="1701"/>
        <w:gridCol w:w="1701"/>
        <w:gridCol w:w="1252"/>
        <w:gridCol w:w="1701"/>
      </w:tblGrid>
      <w:tr w:rsidR="002E10DA"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基金募集申请获中国证监会核准的文号</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证监许可〔2025〕2467号</w:t>
            </w:r>
          </w:p>
        </w:tc>
      </w:tr>
      <w:tr w:rsidR="002E10DA"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基金募集期间</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自2025年12月01日至2025年12月24日止</w:t>
            </w:r>
          </w:p>
        </w:tc>
      </w:tr>
      <w:tr w:rsidR="002E10DA"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验资机构名称</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毕马威华振会计师事务所（特殊普通合伙）</w:t>
            </w:r>
          </w:p>
        </w:tc>
      </w:tr>
      <w:tr w:rsidR="002E10DA"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募集资金划入基金托管专户的日期</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2025年12月26日</w:t>
            </w:r>
          </w:p>
        </w:tc>
      </w:tr>
      <w:tr w:rsidR="002E10DA"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募集有效认购总户数（单位：户）</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524F7C" w:rsidP="006C60AC">
            <w:pPr>
              <w:jc w:val="both"/>
              <w:rPr>
                <w:rFonts w:ascii="宋体" w:eastAsia="宋体" w:hAnsi="宋体" w:cs="宋体"/>
                <w:sz w:val="21"/>
                <w:szCs w:val="21"/>
                <w:lang w:eastAsia="zh-CN"/>
              </w:rPr>
            </w:pPr>
            <w:r>
              <w:rPr>
                <w:rFonts w:ascii="宋体" w:eastAsia="宋体" w:hAnsi="宋体" w:cs="宋体"/>
                <w:sz w:val="21"/>
                <w:szCs w:val="21"/>
                <w:lang w:eastAsia="zh-CN"/>
              </w:rPr>
              <w:t>4,714</w:t>
            </w:r>
          </w:p>
        </w:tc>
      </w:tr>
      <w:tr w:rsidR="002E10DA"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份额级别</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鹏华上证科创板100指数增强A</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鹏华上证科创板100指数增强C</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lang w:eastAsia="zh-CN"/>
              </w:rPr>
            </w:pPr>
            <w:r>
              <w:rPr>
                <w:rFonts w:ascii="宋体" w:eastAsia="宋体" w:hAnsi="宋体" w:cs="宋体"/>
                <w:sz w:val="21"/>
                <w:szCs w:val="21"/>
                <w:lang w:eastAsia="zh-CN"/>
              </w:rPr>
              <w:t>鹏华上证科创板100指数增强I</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E10DA" w:rsidRDefault="00B10115" w:rsidP="006C60AC">
            <w:pPr>
              <w:jc w:val="both"/>
              <w:rPr>
                <w:rFonts w:ascii="宋体" w:eastAsia="宋体" w:hAnsi="宋体" w:cs="宋体"/>
                <w:sz w:val="21"/>
                <w:szCs w:val="21"/>
              </w:rPr>
            </w:pPr>
            <w:r>
              <w:rPr>
                <w:rFonts w:ascii="宋体" w:eastAsia="宋体" w:hAnsi="宋体" w:cs="宋体"/>
                <w:sz w:val="21"/>
                <w:szCs w:val="21"/>
                <w:lang w:eastAsia="zh-CN"/>
              </w:rPr>
              <w:t>合计</w:t>
            </w:r>
          </w:p>
        </w:tc>
      </w:tr>
      <w:tr w:rsidR="00524F7C"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募集期间净认购金额（单位：人民币元）</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353,122,446.65</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177,318,113.49</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31,019.40</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530,471,579.54</w:t>
            </w:r>
          </w:p>
        </w:tc>
      </w:tr>
      <w:tr w:rsidR="00524F7C"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认购资金在募集期间产生的利息（单位：人民币元）</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78,085.92</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40,267.85</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8.86</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118,362.63</w:t>
            </w:r>
          </w:p>
        </w:tc>
      </w:tr>
      <w:tr w:rsidR="00524F7C" w:rsidTr="00524F7C">
        <w:tc>
          <w:tcPr>
            <w:tcW w:w="968"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募集份额（单位：份）</w:t>
            </w: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有效认购份额</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353,122,446.65</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177,318,113.49</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31,019.40</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530,471,579.54</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78,085.92</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40,267.85</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8.86</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118,362.63</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合计</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353,200,532.57</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177,358,381.34</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31,028.26</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530,589,942.17</w:t>
            </w:r>
          </w:p>
        </w:tc>
      </w:tr>
      <w:tr w:rsidR="00524F7C" w:rsidTr="00524F7C">
        <w:tc>
          <w:tcPr>
            <w:tcW w:w="968"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募集期间基金管理人运用固</w:t>
            </w:r>
            <w:r>
              <w:rPr>
                <w:rFonts w:ascii="宋体" w:eastAsia="宋体" w:hAnsi="宋体" w:cs="宋体"/>
                <w:sz w:val="21"/>
                <w:szCs w:val="21"/>
                <w:lang w:eastAsia="zh-CN"/>
              </w:rPr>
              <w:lastRenderedPageBreak/>
              <w:t>有资金认购本基金情况</w:t>
            </w: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lastRenderedPageBreak/>
              <w:t xml:space="preserve">认购的基金份额（单位： </w:t>
            </w:r>
            <w:r>
              <w:rPr>
                <w:rFonts w:ascii="宋体" w:eastAsia="宋体" w:hAnsi="宋体" w:cs="宋体"/>
                <w:sz w:val="21"/>
                <w:szCs w:val="21"/>
                <w:lang w:eastAsia="zh-CN"/>
              </w:rPr>
              <w:lastRenderedPageBreak/>
              <w:t>份）</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lastRenderedPageBreak/>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lang w:eastAsia="zh-CN"/>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合计</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其他需要说明的事项</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w:t>
            </w:r>
          </w:p>
        </w:tc>
      </w:tr>
      <w:tr w:rsidR="00524F7C" w:rsidTr="00524F7C">
        <w:tc>
          <w:tcPr>
            <w:tcW w:w="968"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募集期间基金管理人的从业人员认购本基金情况</w:t>
            </w: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认购的基金份额（单位： 份）</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rPr>
              <w:t>-</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17,760.35</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17,760.35</w:t>
            </w:r>
          </w:p>
        </w:tc>
      </w:tr>
      <w:tr w:rsidR="00524F7C" w:rsidTr="00524F7C">
        <w:tc>
          <w:tcPr>
            <w:tcW w:w="0" w:type="auto"/>
            <w:vMerge/>
            <w:tcBorders>
              <w:top w:val="single" w:sz="8" w:space="0" w:color="auto"/>
              <w:left w:val="single" w:sz="8" w:space="0" w:color="auto"/>
              <w:bottom w:val="single" w:sz="8" w:space="0" w:color="auto"/>
              <w:right w:val="single" w:sz="8" w:space="0" w:color="auto"/>
            </w:tcBorders>
            <w:vAlign w:val="center"/>
            <w:hideMark/>
          </w:tcPr>
          <w:p w:rsidR="00524F7C" w:rsidRDefault="00524F7C" w:rsidP="00524F7C">
            <w:pPr>
              <w:rPr>
                <w:rFonts w:ascii="宋体" w:eastAsia="宋体" w:hAnsi="宋体" w:cs="宋体"/>
                <w:sz w:val="21"/>
                <w:szCs w:val="21"/>
                <w:lang w:eastAsia="zh-CN"/>
              </w:rPr>
            </w:pPr>
          </w:p>
        </w:tc>
        <w:tc>
          <w:tcPr>
            <w:tcW w:w="967"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rPr>
              <w:t>-</w:t>
            </w:r>
          </w:p>
        </w:tc>
        <w:tc>
          <w:tcPr>
            <w:tcW w:w="125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57.2393%</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spacing w:line="360" w:lineRule="auto"/>
              <w:jc w:val="right"/>
              <w:rPr>
                <w:rFonts w:ascii="宋体" w:eastAsia="宋体" w:hAnsi="宋体" w:cs="宋体"/>
                <w:sz w:val="21"/>
                <w:szCs w:val="21"/>
              </w:rPr>
            </w:pPr>
            <w:r>
              <w:rPr>
                <w:rFonts w:ascii="宋体" w:eastAsia="宋体" w:hAnsi="宋体" w:cs="宋体"/>
                <w:sz w:val="21"/>
                <w:szCs w:val="21"/>
                <w:lang w:eastAsia="zh-CN"/>
              </w:rPr>
              <w:t>0.0033%</w:t>
            </w:r>
          </w:p>
        </w:tc>
      </w:tr>
      <w:tr w:rsidR="00524F7C"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募集期限届满基金是否符合法律法规规定的办理基金备案手续的条件</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是</w:t>
            </w:r>
          </w:p>
        </w:tc>
      </w:tr>
      <w:tr w:rsidR="00524F7C" w:rsidTr="00524F7C">
        <w:tc>
          <w:tcPr>
            <w:tcW w:w="1935"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lang w:eastAsia="zh-CN"/>
              </w:rPr>
            </w:pPr>
            <w:r>
              <w:rPr>
                <w:rFonts w:ascii="宋体" w:eastAsia="宋体" w:hAnsi="宋体" w:cs="宋体"/>
                <w:sz w:val="21"/>
                <w:szCs w:val="21"/>
                <w:lang w:eastAsia="zh-CN"/>
              </w:rPr>
              <w:t>向中国证监会办理基金备案手续获得书面确认的日期</w:t>
            </w:r>
          </w:p>
        </w:tc>
        <w:tc>
          <w:tcPr>
            <w:tcW w:w="6355"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524F7C" w:rsidRDefault="00524F7C" w:rsidP="00524F7C">
            <w:pPr>
              <w:jc w:val="both"/>
              <w:rPr>
                <w:rFonts w:ascii="宋体" w:eastAsia="宋体" w:hAnsi="宋体" w:cs="宋体"/>
                <w:sz w:val="21"/>
                <w:szCs w:val="21"/>
              </w:rPr>
            </w:pPr>
            <w:r>
              <w:rPr>
                <w:rFonts w:ascii="宋体" w:eastAsia="宋体" w:hAnsi="宋体" w:cs="宋体"/>
                <w:sz w:val="21"/>
                <w:szCs w:val="21"/>
                <w:lang w:eastAsia="zh-CN"/>
              </w:rPr>
              <w:t>2025年12月26日</w:t>
            </w:r>
          </w:p>
        </w:tc>
      </w:tr>
    </w:tbl>
    <w:p w:rsidR="002E10DA" w:rsidRDefault="00B10115">
      <w:pPr>
        <w:spacing w:line="360" w:lineRule="auto"/>
        <w:jc w:val="both"/>
        <w:rPr>
          <w:sz w:val="21"/>
          <w:szCs w:val="21"/>
          <w:lang w:eastAsia="zh-CN"/>
        </w:rPr>
      </w:pPr>
      <w:r>
        <w:rPr>
          <w:rFonts w:ascii="宋体" w:eastAsia="宋体" w:hAnsi="宋体" w:cs="宋体"/>
          <w:sz w:val="21"/>
          <w:szCs w:val="21"/>
          <w:lang w:eastAsia="zh-CN"/>
        </w:rPr>
        <w:t>注：(1)按照有关法律规定，本次基金募集期间所发生的律师费、会计师费、信息披露费等费用由基金管理人承担，不从基金财产中列支。</w:t>
      </w:r>
    </w:p>
    <w:p w:rsidR="002E10DA" w:rsidRPr="00524F7C" w:rsidRDefault="00B10115">
      <w:pPr>
        <w:spacing w:line="360" w:lineRule="auto"/>
        <w:jc w:val="both"/>
        <w:rPr>
          <w:sz w:val="21"/>
          <w:szCs w:val="21"/>
          <w:lang w:eastAsia="zh-CN"/>
        </w:rPr>
      </w:pPr>
      <w:r>
        <w:rPr>
          <w:rFonts w:ascii="宋体" w:eastAsia="宋体" w:hAnsi="宋体" w:cs="宋体"/>
          <w:sz w:val="21"/>
          <w:szCs w:val="21"/>
          <w:lang w:eastAsia="zh-CN"/>
        </w:rPr>
        <w:t>(</w:t>
      </w:r>
      <w:r w:rsidRPr="00524F7C">
        <w:rPr>
          <w:rFonts w:ascii="宋体" w:eastAsia="宋体" w:hAnsi="宋体" w:cs="宋体"/>
          <w:sz w:val="21"/>
          <w:szCs w:val="21"/>
          <w:lang w:eastAsia="zh-CN"/>
        </w:rPr>
        <w:t>2)本公司高级管理人员、基金投资和研究部门负责人持有本基金基金份额总量的数量区间为</w:t>
      </w:r>
      <w:r w:rsidR="00524F7C" w:rsidRPr="00524F7C">
        <w:rPr>
          <w:rFonts w:ascii="宋体" w:eastAsia="宋体" w:hAnsi="宋体" w:cs="宋体"/>
          <w:sz w:val="21"/>
          <w:szCs w:val="21"/>
          <w:lang w:eastAsia="zh-CN"/>
        </w:rPr>
        <w:t>0</w:t>
      </w:r>
      <w:r w:rsidRPr="00524F7C">
        <w:rPr>
          <w:rFonts w:ascii="宋体" w:eastAsia="宋体" w:hAnsi="宋体" w:cs="宋体"/>
          <w:sz w:val="21"/>
          <w:szCs w:val="21"/>
          <w:lang w:eastAsia="zh-CN"/>
        </w:rPr>
        <w:t>。</w:t>
      </w:r>
    </w:p>
    <w:p w:rsidR="002E10DA" w:rsidRDefault="00B10115">
      <w:pPr>
        <w:spacing w:line="360" w:lineRule="auto"/>
        <w:jc w:val="both"/>
        <w:rPr>
          <w:sz w:val="21"/>
          <w:szCs w:val="21"/>
          <w:lang w:eastAsia="zh-CN"/>
        </w:rPr>
      </w:pPr>
      <w:r w:rsidRPr="00524F7C">
        <w:rPr>
          <w:rFonts w:ascii="宋体" w:eastAsia="宋体" w:hAnsi="宋体" w:cs="宋体"/>
          <w:sz w:val="21"/>
          <w:szCs w:val="21"/>
          <w:lang w:eastAsia="zh-CN"/>
        </w:rPr>
        <w:t>(3)本基金基金经理持有本基金基金份额总量的数量区间为</w:t>
      </w:r>
      <w:r w:rsidR="00524F7C" w:rsidRPr="00524F7C">
        <w:rPr>
          <w:rFonts w:ascii="宋体" w:eastAsia="宋体" w:hAnsi="宋体" w:cs="宋体"/>
          <w:sz w:val="21"/>
          <w:szCs w:val="21"/>
          <w:lang w:eastAsia="zh-CN"/>
        </w:rPr>
        <w:t>0</w:t>
      </w:r>
      <w:r w:rsidRPr="00524F7C">
        <w:rPr>
          <w:rFonts w:ascii="宋体" w:eastAsia="宋体" w:hAnsi="宋体" w:cs="宋体"/>
          <w:sz w:val="21"/>
          <w:szCs w:val="21"/>
          <w:lang w:eastAsia="zh-CN"/>
        </w:rPr>
        <w:t>。</w:t>
      </w:r>
    </w:p>
    <w:p w:rsidR="002E10DA" w:rsidRDefault="00B10115">
      <w:pPr>
        <w:keepNext/>
        <w:spacing w:before="156" w:after="156" w:line="360" w:lineRule="auto"/>
        <w:ind w:left="454" w:hanging="454"/>
        <w:rPr>
          <w:rFonts w:ascii="宋体" w:eastAsia="宋体" w:hAnsi="宋体" w:cs="宋体"/>
          <w:lang w:eastAsia="zh-CN"/>
        </w:rPr>
      </w:pPr>
      <w:r>
        <w:rPr>
          <w:rFonts w:ascii="宋体" w:eastAsia="宋体" w:hAnsi="宋体" w:cs="宋体"/>
          <w:b/>
          <w:bCs/>
          <w:lang w:eastAsia="zh-CN"/>
        </w:rPr>
        <w:t>3.</w:t>
      </w:r>
      <w:r>
        <w:rPr>
          <w:b/>
          <w:bCs/>
          <w:sz w:val="14"/>
          <w:szCs w:val="14"/>
          <w:lang w:eastAsia="zh-CN"/>
        </w:rPr>
        <w:t>        </w:t>
      </w:r>
      <w:r>
        <w:rPr>
          <w:rFonts w:ascii="宋体" w:eastAsia="宋体" w:hAnsi="宋体" w:cs="宋体"/>
          <w:b/>
          <w:bCs/>
          <w:lang w:eastAsia="zh-CN"/>
        </w:rPr>
        <w:t>其他需要提示的事项</w:t>
      </w:r>
    </w:p>
    <w:p w:rsidR="002E10DA" w:rsidRDefault="00B1011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销售机构受理投资人认购申请并不代表该申请一定成功，申请的成功与否须以本基金基金份额登记机构的确认结果为准。基金份额持有人应当在本基金基金合同生效之日起2个工作日之后，及时到销售机构的网点进行交易确认的查询，也可以通过本基金管理人的客户服务电话400-6788-533和网站（www.phfund.com.cn）查询交易确认状况。</w:t>
      </w:r>
    </w:p>
    <w:p w:rsidR="002E10DA" w:rsidRDefault="00B1011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公开募集证券投资基金运作管理办法》的规定以及基金合同和招募说明书的约定，基金管理人可以根据实际情况依法决定本基金开始办理申购的具体日期，自基金合同生效之日起不超过3个月开始办理赎回，具体业务办理时间在相关公告中规定。在确定申购开始与赎回开始时间后，基金管理人应依照《公开募集证券投资基金信息披露管理办法》的有关规定在中国证监会规定媒介上公告申购与赎回的开始时间。</w:t>
      </w:r>
    </w:p>
    <w:p w:rsidR="002E10DA" w:rsidRDefault="00B1011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w:t>
      </w:r>
    </w:p>
    <w:p w:rsidR="002E10DA" w:rsidRDefault="00B1011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风险提示：</w:t>
      </w:r>
    </w:p>
    <w:p w:rsidR="002E10DA" w:rsidRDefault="00B1011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p>
    <w:p w:rsidR="002E10DA" w:rsidRDefault="002E10DA" w:rsidP="006C60AC">
      <w:pPr>
        <w:spacing w:line="360" w:lineRule="auto"/>
        <w:ind w:firstLine="420"/>
        <w:jc w:val="both"/>
        <w:rPr>
          <w:rFonts w:ascii="宋体" w:eastAsia="宋体" w:hAnsi="宋体" w:cs="宋体"/>
          <w:sz w:val="21"/>
          <w:szCs w:val="21"/>
          <w:lang w:eastAsia="zh-CN"/>
        </w:rPr>
      </w:pPr>
    </w:p>
    <w:p w:rsidR="002E10DA" w:rsidRDefault="00B10115">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2E10DA" w:rsidRPr="006C60AC" w:rsidRDefault="00B10115">
      <w:pPr>
        <w:spacing w:line="360" w:lineRule="auto"/>
        <w:jc w:val="right"/>
        <w:rPr>
          <w:rFonts w:ascii="宋体" w:eastAsia="宋体" w:hAnsi="宋体" w:cs="宋体"/>
          <w:sz w:val="21"/>
          <w:szCs w:val="21"/>
          <w:lang w:eastAsia="zh-CN"/>
        </w:rPr>
      </w:pPr>
      <w:r w:rsidRPr="006C60AC">
        <w:rPr>
          <w:rFonts w:ascii="宋体" w:eastAsia="宋体" w:hAnsi="宋体" w:cs="宋体"/>
          <w:sz w:val="21"/>
          <w:szCs w:val="21"/>
          <w:lang w:eastAsia="zh-CN"/>
        </w:rPr>
        <w:t>鹏华基金管理有限公司</w:t>
      </w:r>
    </w:p>
    <w:p w:rsidR="00A77B3E" w:rsidRPr="006C60AC" w:rsidRDefault="00B10115" w:rsidP="006C60AC">
      <w:pPr>
        <w:spacing w:line="360" w:lineRule="auto"/>
        <w:jc w:val="right"/>
        <w:rPr>
          <w:rFonts w:ascii="宋体" w:eastAsia="宋体" w:hAnsi="宋体" w:cs="宋体"/>
          <w:sz w:val="21"/>
          <w:szCs w:val="21"/>
          <w:lang w:eastAsia="zh-CN"/>
        </w:rPr>
      </w:pPr>
      <w:r w:rsidRPr="006C60AC">
        <w:rPr>
          <w:rFonts w:ascii="宋体" w:eastAsia="宋体" w:hAnsi="宋体" w:cs="宋体"/>
          <w:sz w:val="21"/>
          <w:szCs w:val="21"/>
          <w:lang w:eastAsia="zh-CN"/>
        </w:rPr>
        <w:t>2025年12月27日</w:t>
      </w:r>
    </w:p>
    <w:sectPr w:rsidR="00A77B3E" w:rsidRPr="006C60AC" w:rsidSect="00A46D6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0EC" w:rsidRDefault="001B00EC">
      <w:r>
        <w:separator/>
      </w:r>
    </w:p>
  </w:endnote>
  <w:endnote w:type="continuationSeparator" w:id="0">
    <w:p w:rsidR="001B00EC" w:rsidRDefault="001B0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DA" w:rsidRDefault="00A46D62">
    <w:pPr>
      <w:jc w:val="center"/>
    </w:pPr>
    <w:r>
      <w:rPr>
        <w:rFonts w:ascii="宋体" w:eastAsia="宋体" w:hAnsi="宋体" w:cs="宋体"/>
        <w:sz w:val="18"/>
      </w:rPr>
      <w:fldChar w:fldCharType="begin"/>
    </w:r>
    <w:r w:rsidR="00B10115">
      <w:rPr>
        <w:rFonts w:ascii="宋体" w:eastAsia="宋体" w:hAnsi="宋体" w:cs="宋体"/>
        <w:sz w:val="18"/>
        <w:lang w:eastAsia="zh-CN"/>
      </w:rPr>
      <w:instrText xml:space="preserve"> PAGE </w:instrText>
    </w:r>
    <w:r>
      <w:rPr>
        <w:rFonts w:ascii="宋体" w:eastAsia="宋体" w:hAnsi="宋体" w:cs="宋体"/>
        <w:sz w:val="18"/>
      </w:rPr>
      <w:fldChar w:fldCharType="separate"/>
    </w:r>
    <w:r w:rsidR="00AC5FFB">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0EC" w:rsidRDefault="001B00EC">
      <w:r>
        <w:separator/>
      </w:r>
    </w:p>
  </w:footnote>
  <w:footnote w:type="continuationSeparator" w:id="0">
    <w:p w:rsidR="001B00EC" w:rsidRDefault="001B0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B00EC"/>
    <w:rsid w:val="002E10DA"/>
    <w:rsid w:val="00404376"/>
    <w:rsid w:val="00524F7C"/>
    <w:rsid w:val="006C60AC"/>
    <w:rsid w:val="00A46D62"/>
    <w:rsid w:val="00A77B3E"/>
    <w:rsid w:val="00AC5FFB"/>
    <w:rsid w:val="00B10115"/>
    <w:rsid w:val="00CA2A55"/>
    <w:rsid w:val="00E66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D6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2025-12-26T02:14:00Z</cp:lastPrinted>
  <dcterms:created xsi:type="dcterms:W3CDTF">2025-12-26T16:02:00Z</dcterms:created>
  <dcterms:modified xsi:type="dcterms:W3CDTF">2025-12-26T16:02:00Z</dcterms:modified>
</cp:coreProperties>
</file>