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190" w:rsidRDefault="00CF72C5" w:rsidP="008B7487">
      <w:pPr>
        <w:pStyle w:val="a8"/>
        <w:ind w:left="1" w:rightChars="-27" w:right="-57"/>
        <w:rPr>
          <w:b/>
          <w:sz w:val="48"/>
          <w:szCs w:val="48"/>
        </w:rPr>
      </w:pPr>
      <w:r w:rsidRPr="008B7487">
        <w:rPr>
          <w:b/>
          <w:sz w:val="48"/>
          <w:szCs w:val="48"/>
        </w:rPr>
        <w:t>关于鹏扬景瑞三年持有期混合型证券投资基金变更基金经理的公告</w:t>
      </w:r>
    </w:p>
    <w:p w:rsidR="00DA2749" w:rsidRDefault="00CF72C5" w:rsidP="00CF72C5">
      <w:pPr>
        <w:pStyle w:val="1"/>
        <w:spacing w:before="156" w:after="156"/>
      </w:pPr>
      <w:r>
        <w:t>公告基本信息</w:t>
      </w:r>
    </w:p>
    <w:tbl>
      <w:tblPr>
        <w:tblStyle w:val="ab"/>
        <w:tblW w:w="9072" w:type="dxa"/>
        <w:jc w:val="center"/>
        <w:tblLook w:val="04A0"/>
      </w:tblPr>
      <w:tblGrid>
        <w:gridCol w:w="3888"/>
        <w:gridCol w:w="5184"/>
      </w:tblGrid>
      <w:tr w:rsidR="003468ED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3468ED" w:rsidRPr="006B6BB2" w:rsidRDefault="00275C06" w:rsidP="003468ED">
            <w:r>
              <w:rPr>
                <w:rFonts w:hint="eastAsia"/>
              </w:rPr>
              <w:t>基金名称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3468ED" w:rsidRPr="003E5622" w:rsidRDefault="003468ED" w:rsidP="003468ED">
            <w:r w:rsidRPr="003E5622">
              <w:rPr>
                <w:rFonts w:hint="eastAsia"/>
              </w:rPr>
              <w:t>鹏扬景瑞三年持有期混合型证券投资基金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基金简称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鹏扬景瑞三年持有混合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基金主代码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008416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基金管理人名称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鹏扬基金管理有限公司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公告依据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《公开募集证券投资基金信息披露管理办法》、《基金管理公司投资管理人员管理指导意见》、《鹏扬景瑞三年持有期混合型证券投资基金基金合同》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基金经理变更类型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解聘基金经理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Pr="006B6BB2" w:rsidRDefault="00275C06" w:rsidP="00275C06">
            <w:r w:rsidRPr="006B6BB2">
              <w:rPr>
                <w:rFonts w:hint="eastAsia"/>
              </w:rPr>
              <w:t>共同管理本基金的其他基金经理姓名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Pr="003E5622" w:rsidRDefault="00275C06" w:rsidP="00275C06">
            <w:r w:rsidRPr="003E5622">
              <w:rPr>
                <w:rFonts w:hint="eastAsia"/>
              </w:rPr>
              <w:t>李人望</w:t>
            </w:r>
          </w:p>
        </w:tc>
      </w:tr>
      <w:tr w:rsidR="00275C06" w:rsidTr="00B02A03">
        <w:trPr>
          <w:jc w:val="center"/>
        </w:trPr>
        <w:tc>
          <w:tcPr>
            <w:tcW w:w="3652" w:type="dxa"/>
            <w:tcMar>
              <w:left w:w="85" w:type="dxa"/>
              <w:right w:w="85" w:type="dxa"/>
            </w:tcMar>
            <w:vAlign w:val="center"/>
          </w:tcPr>
          <w:p w:rsidR="00275C06" w:rsidRDefault="00275C06" w:rsidP="00275C06">
            <w:r w:rsidRPr="006B6BB2">
              <w:rPr>
                <w:rFonts w:hint="eastAsia"/>
              </w:rPr>
              <w:t>离任基金经理姓名</w:t>
            </w:r>
          </w:p>
        </w:tc>
        <w:tc>
          <w:tcPr>
            <w:tcW w:w="4870" w:type="dxa"/>
            <w:tcMar>
              <w:left w:w="85" w:type="dxa"/>
              <w:right w:w="85" w:type="dxa"/>
            </w:tcMar>
            <w:vAlign w:val="center"/>
          </w:tcPr>
          <w:p w:rsidR="00275C06" w:rsidRDefault="00275C06" w:rsidP="00275C06">
            <w:r w:rsidRPr="003E5622">
              <w:rPr>
                <w:rFonts w:hint="eastAsia"/>
              </w:rPr>
              <w:t>李沁</w:t>
            </w:r>
          </w:p>
        </w:tc>
      </w:tr>
    </w:tbl>
    <w:p w:rsidR="007F0ADE" w:rsidRDefault="00F9478F" w:rsidP="007F0ADE">
      <w:pPr>
        <w:pStyle w:val="1"/>
        <w:spacing w:before="156" w:after="156"/>
      </w:pPr>
      <w:r>
        <w:rPr>
          <w:rFonts w:hint="eastAsia"/>
        </w:rPr>
        <w:t>离任基金经理的相关信息</w:t>
      </w:r>
    </w:p>
    <w:tbl>
      <w:tblPr>
        <w:tblStyle w:val="ab"/>
        <w:tblW w:w="9072" w:type="dxa"/>
        <w:jc w:val="center"/>
        <w:tblLayout w:type="fixed"/>
        <w:tblLook w:val="04A0"/>
      </w:tblPr>
      <w:tblGrid>
        <w:gridCol w:w="2529"/>
        <w:gridCol w:w="6543"/>
      </w:tblGrid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离任基金经理姓名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李沁</w:t>
            </w:r>
          </w:p>
        </w:tc>
      </w:tr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离任原因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因工作需要</w:t>
            </w:r>
          </w:p>
        </w:tc>
      </w:tr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离任日期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>
              <w:rPr>
                <w:rFonts w:hint="eastAsia"/>
              </w:rPr>
              <w:t>2025-12-25</w:t>
            </w:r>
          </w:p>
        </w:tc>
      </w:tr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转任本公司其他工作岗位的说明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-</w:t>
            </w:r>
          </w:p>
        </w:tc>
      </w:tr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Pr="00625FAF" w:rsidRDefault="007F0ADE" w:rsidP="007F0ADE">
            <w:r w:rsidRPr="00625FAF">
              <w:rPr>
                <w:rFonts w:hint="eastAsia"/>
              </w:rPr>
              <w:t>是否已按规定在中国基金业协会办理变更手续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是</w:t>
            </w:r>
          </w:p>
        </w:tc>
      </w:tr>
      <w:tr w:rsidR="00EA204B" w:rsidTr="00EA204B">
        <w:trPr>
          <w:jc w:val="center"/>
        </w:trPr>
        <w:tc>
          <w:tcPr>
            <w:tcW w:w="2376" w:type="dxa"/>
            <w:tcMar>
              <w:left w:w="85" w:type="dxa"/>
              <w:right w:w="85" w:type="dxa"/>
            </w:tcMar>
            <w:vAlign w:val="center"/>
          </w:tcPr>
          <w:p w:rsidR="007F0ADE" w:rsidRDefault="007F0ADE" w:rsidP="007F0ADE">
            <w:r w:rsidRPr="00625FAF">
              <w:rPr>
                <w:rFonts w:hint="eastAsia"/>
              </w:rPr>
              <w:t>是否已按规定在中国基金业协会办理注销手续</w:t>
            </w:r>
          </w:p>
        </w:tc>
        <w:tc>
          <w:tcPr>
            <w:tcW w:w="6146" w:type="dxa"/>
            <w:tcMar>
              <w:left w:w="85" w:type="dxa"/>
              <w:right w:w="85" w:type="dxa"/>
            </w:tcMar>
            <w:vAlign w:val="center"/>
          </w:tcPr>
          <w:p w:rsidR="007F0ADE" w:rsidRPr="002C6AB7" w:rsidRDefault="007F0ADE" w:rsidP="007F0ADE">
            <w:pPr>
              <w:jc w:val="left"/>
            </w:pPr>
            <w:r w:rsidRPr="002C6AB7">
              <w:rPr>
                <w:rFonts w:hint="eastAsia"/>
              </w:rPr>
              <w:t>否</w:t>
            </w:r>
          </w:p>
        </w:tc>
      </w:tr>
    </w:tbl>
    <w:p w:rsidR="00DB087C" w:rsidRPr="003632EA" w:rsidRDefault="00DB087C" w:rsidP="003632EA">
      <w:pPr>
        <w:snapToGrid w:val="0"/>
        <w:jc w:val="left"/>
        <w:rPr>
          <w:rFonts w:hAnsi="宋体"/>
          <w:sz w:val="2"/>
          <w:szCs w:val="22"/>
        </w:rPr>
      </w:pPr>
    </w:p>
    <w:p w:rsidR="00DB087C" w:rsidRPr="003632EA" w:rsidRDefault="00DB087C" w:rsidP="003632EA">
      <w:pPr>
        <w:snapToGrid w:val="0"/>
        <w:jc w:val="left"/>
        <w:rPr>
          <w:rFonts w:hAnsi="宋体"/>
          <w:sz w:val="2"/>
          <w:szCs w:val="22"/>
        </w:rPr>
      </w:pPr>
    </w:p>
    <w:p w:rsidR="00F9478F" w:rsidRDefault="00F9478F" w:rsidP="00F9478F">
      <w:pPr>
        <w:pStyle w:val="1"/>
        <w:spacing w:before="156" w:after="156"/>
      </w:pPr>
      <w:r>
        <w:rPr>
          <w:rFonts w:hint="eastAsia"/>
        </w:rPr>
        <w:t>其他需要说明的事项</w:t>
      </w:r>
    </w:p>
    <w:p w:rsidR="00F9478F" w:rsidRDefault="00F9478F" w:rsidP="009F7309">
      <w:pPr>
        <w:pStyle w:val="aa"/>
        <w:snapToGrid w:val="0"/>
        <w:ind w:firstLine="420"/>
      </w:pPr>
      <w:r w:rsidRPr="0031779F">
        <w:t>李沁仍担任鹏扬基金管理有限公司混合投资部副总经理</w:t>
      </w:r>
      <w:r w:rsidR="00CB504B">
        <w:rPr>
          <w:rFonts w:hint="eastAsia"/>
        </w:rPr>
        <w:t>、</w:t>
      </w:r>
      <w:bookmarkStart w:id="0" w:name="_GoBack"/>
      <w:bookmarkEnd w:id="0"/>
      <w:r w:rsidRPr="0031779F">
        <w:t>鹏扬聚利六个月持有期债券型证券投资基金基金经理、鹏扬景合六个月持有期混合型证券投资基金基金经理、鹏扬景安一年持有期混合型证券投资基金基金经理、鹏扬景添一年持有期混合型证券投资基金基金经理、鹏扬添利增强债券型证券投资基金基金经理、鹏扬稳利债券型证券投资基金基金经理、鹏扬景恒六个月持有期混合型证券投资基金基金经理、鹏扬景欣混合型证券投资基金基金经理。</w:t>
      </w:r>
    </w:p>
    <w:p w:rsidR="00EB19F1" w:rsidRPr="00EA204B" w:rsidRDefault="00EB19F1" w:rsidP="00EA204B">
      <w:pPr>
        <w:pStyle w:val="aa"/>
        <w:adjustRightInd w:val="0"/>
        <w:ind w:firstLineChars="0" w:firstLine="0"/>
        <w:contextualSpacing/>
      </w:pPr>
    </w:p>
    <w:p w:rsidR="00EB19F1" w:rsidRPr="00EA204B" w:rsidRDefault="00EB19F1" w:rsidP="00EA204B">
      <w:pPr>
        <w:pStyle w:val="1"/>
        <w:numPr>
          <w:ilvl w:val="0"/>
          <w:numId w:val="0"/>
        </w:numPr>
        <w:adjustRightInd w:val="0"/>
        <w:spacing w:beforeLines="0" w:afterLines="0" w:line="360" w:lineRule="auto"/>
        <w:contextualSpacing/>
        <w:jc w:val="right"/>
        <w:rPr>
          <w:b w:val="0"/>
          <w:sz w:val="21"/>
          <w:szCs w:val="21"/>
        </w:rPr>
      </w:pPr>
      <w:r w:rsidRPr="00EA204B">
        <w:rPr>
          <w:rFonts w:hint="eastAsia"/>
          <w:b w:val="0"/>
          <w:sz w:val="21"/>
          <w:szCs w:val="21"/>
        </w:rPr>
        <w:t>鹏扬基金管理有限公司</w:t>
      </w:r>
    </w:p>
    <w:p w:rsidR="007A7452" w:rsidRPr="00EA204B" w:rsidRDefault="00EB19F1" w:rsidP="00EA204B">
      <w:pPr>
        <w:pStyle w:val="1"/>
        <w:numPr>
          <w:ilvl w:val="0"/>
          <w:numId w:val="0"/>
        </w:numPr>
        <w:adjustRightInd w:val="0"/>
        <w:spacing w:beforeLines="0" w:afterLines="0" w:line="360" w:lineRule="auto"/>
        <w:contextualSpacing/>
        <w:jc w:val="right"/>
        <w:rPr>
          <w:b w:val="0"/>
          <w:sz w:val="21"/>
          <w:szCs w:val="21"/>
        </w:rPr>
      </w:pPr>
      <w:r w:rsidRPr="00EA204B">
        <w:rPr>
          <w:rFonts w:hint="eastAsia"/>
          <w:b w:val="0"/>
          <w:sz w:val="21"/>
          <w:szCs w:val="21"/>
        </w:rPr>
        <w:t>2025年12月27日</w:t>
      </w:r>
    </w:p>
    <w:sectPr w:rsidR="007A7452" w:rsidRPr="00EA204B" w:rsidSect="00B02A03">
      <w:headerReference w:type="default" r:id="rId8"/>
      <w:footerReference w:type="default" r:id="rId9"/>
      <w:footerReference w:type="first" r:id="rId10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B8D" w:rsidRDefault="00220B8D" w:rsidP="00CF72C5">
      <w:r>
        <w:separator/>
      </w:r>
    </w:p>
  </w:endnote>
  <w:endnote w:type="continuationSeparator" w:id="0">
    <w:p w:rsidR="00220B8D" w:rsidRDefault="00220B8D" w:rsidP="00CF7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9F1" w:rsidRDefault="00EB19F1" w:rsidP="00EB19F1">
    <w:pPr>
      <w:pStyle w:val="a4"/>
      <w:jc w:val="center"/>
    </w:pPr>
    <w:r w:rsidRPr="00EB19F1">
      <w:rPr>
        <w:rFonts w:hint="eastAsia"/>
      </w:rPr>
      <w:t>第</w:t>
    </w:r>
    <w:r w:rsidR="00C247D8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C247D8">
      <w:fldChar w:fldCharType="separate"/>
    </w:r>
    <w:r w:rsidR="009E2245">
      <w:rPr>
        <w:noProof/>
      </w:rPr>
      <w:t>1</w:t>
    </w:r>
    <w:r w:rsidR="00C247D8">
      <w:fldChar w:fldCharType="end"/>
    </w:r>
    <w:r w:rsidRPr="00EB19F1">
      <w:rPr>
        <w:rFonts w:hint="eastAsia"/>
      </w:rPr>
      <w:t>页 共</w:t>
    </w:r>
    <w:fldSimple w:instr=" NUMPAGES   \* MERGEFORMAT ">
      <w:r w:rsidR="009E2245">
        <w:rPr>
          <w:noProof/>
        </w:rPr>
        <w:t>1</w:t>
      </w:r>
    </w:fldSimple>
    <w:r w:rsidRPr="00EB19F1">
      <w:rPr>
        <w:rFonts w:hint="eastAsia"/>
      </w:rPr>
      <w:t>页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090" w:rsidRDefault="00244090">
    <w:pPr>
      <w:pStyle w:val="a4"/>
      <w:jc w:val="center"/>
    </w:pPr>
    <w:r w:rsidRPr="00C243B8">
      <w:t>第</w:t>
    </w:r>
    <w:sdt>
      <w:sdtPr>
        <w:id w:val="-711256933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Pr="00C243B8">
              <w:rPr>
                <w:lang w:val="zh-CN"/>
              </w:rPr>
              <w:t xml:space="preserve"> </w:t>
            </w:r>
            <w:r w:rsidR="00C247D8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PAGE</w:instrText>
            </w:r>
            <w:r w:rsidR="00C247D8" w:rsidRPr="00C243B8">
              <w:rPr>
                <w:bCs/>
                <w:sz w:val="24"/>
                <w:szCs w:val="24"/>
              </w:rPr>
              <w:fldChar w:fldCharType="separate"/>
            </w:r>
            <w:r w:rsidR="00EB29AE">
              <w:rPr>
                <w:bCs/>
                <w:noProof/>
              </w:rPr>
              <w:t>1</w:t>
            </w:r>
            <w:r w:rsidR="00C247D8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  <w:r w:rsidRPr="00C243B8">
              <w:rPr>
                <w:lang w:val="zh-CN"/>
              </w:rPr>
              <w:t xml:space="preserve"> /共 </w:t>
            </w:r>
            <w:r w:rsidR="00C247D8" w:rsidRPr="00C243B8">
              <w:rPr>
                <w:bCs/>
                <w:sz w:val="24"/>
                <w:szCs w:val="24"/>
              </w:rPr>
              <w:fldChar w:fldCharType="begin"/>
            </w:r>
            <w:r w:rsidRPr="00C243B8">
              <w:rPr>
                <w:bCs/>
              </w:rPr>
              <w:instrText>NUMPAGES</w:instrText>
            </w:r>
            <w:r w:rsidR="00C247D8" w:rsidRPr="00C243B8">
              <w:rPr>
                <w:bCs/>
                <w:sz w:val="24"/>
                <w:szCs w:val="24"/>
              </w:rPr>
              <w:fldChar w:fldCharType="separate"/>
            </w:r>
            <w:r w:rsidR="00EB29AE">
              <w:rPr>
                <w:bCs/>
                <w:noProof/>
              </w:rPr>
              <w:t>4</w:t>
            </w:r>
            <w:r w:rsidR="00C247D8" w:rsidRPr="00C243B8">
              <w:rPr>
                <w:bCs/>
                <w:sz w:val="24"/>
                <w:szCs w:val="24"/>
              </w:rPr>
              <w:fldChar w:fldCharType="end"/>
            </w:r>
            <w:r w:rsidRPr="00C243B8">
              <w:rPr>
                <w:bCs/>
                <w:sz w:val="24"/>
                <w:szCs w:val="24"/>
              </w:rPr>
              <w:t>页</w:t>
            </w:r>
          </w:sdtContent>
        </w:sdt>
      </w:sdtContent>
    </w:sdt>
  </w:p>
  <w:p w:rsidR="00EB19F1" w:rsidRDefault="00EB19F1" w:rsidP="00EB19F1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B8D" w:rsidRDefault="00220B8D" w:rsidP="00CF72C5">
      <w:r>
        <w:separator/>
      </w:r>
    </w:p>
  </w:footnote>
  <w:footnote w:type="continuationSeparator" w:id="0">
    <w:p w:rsidR="00220B8D" w:rsidRDefault="00220B8D" w:rsidP="00CF72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A1B" w:rsidRDefault="00031FC1">
    <w:pPr>
      <w:pBdr>
        <w:between w:val="single" w:sz="3" w:space="0" w:color="000000"/>
      </w:pBdr>
      <w:jc w:val="right"/>
    </w:pPr>
    <w:r>
      <w:rPr>
        <w:rFonts w:hAnsi="宋体" w:hint="eastAsia"/>
        <w:bCs/>
        <w:color w:val="000000"/>
        <w:sz w:val="18"/>
        <w:szCs w:val="18"/>
      </w:rPr>
      <w:t>关于鹏扬景瑞三年持有期混合型证券投资基金变更基金经理的公告</w:t>
    </w:r>
  </w:p>
  <w:p w:rsidR="003E3A1B" w:rsidRDefault="003E3A1B">
    <w:pPr>
      <w:pBdr>
        <w:between w:val="single" w:sz="3" w:space="0" w:color="000000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67B26"/>
    <w:multiLevelType w:val="hybridMultilevel"/>
    <w:tmpl w:val="86165E58"/>
    <w:lvl w:ilvl="0" w:tplc="B52255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CC4675"/>
    <w:multiLevelType w:val="hybridMultilevel"/>
    <w:tmpl w:val="573AA668"/>
    <w:lvl w:ilvl="0" w:tplc="ECAE6C80">
      <w:start w:val="1"/>
      <w:numFmt w:val="decimal"/>
      <w:lvlText w:val="%1.1.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515A"/>
    <w:rsid w:val="000024CD"/>
    <w:rsid w:val="00003C1E"/>
    <w:rsid w:val="00007982"/>
    <w:rsid w:val="00031E76"/>
    <w:rsid w:val="00031FC1"/>
    <w:rsid w:val="00040BE1"/>
    <w:rsid w:val="00052FCD"/>
    <w:rsid w:val="000C68AB"/>
    <w:rsid w:val="000C70FE"/>
    <w:rsid w:val="00104A73"/>
    <w:rsid w:val="001279AD"/>
    <w:rsid w:val="00127A20"/>
    <w:rsid w:val="00142CE2"/>
    <w:rsid w:val="00153F78"/>
    <w:rsid w:val="0016353F"/>
    <w:rsid w:val="00165B55"/>
    <w:rsid w:val="00182CF1"/>
    <w:rsid w:val="00184FBB"/>
    <w:rsid w:val="001865BF"/>
    <w:rsid w:val="001B6E30"/>
    <w:rsid w:val="001C0B5A"/>
    <w:rsid w:val="001F21F5"/>
    <w:rsid w:val="00220119"/>
    <w:rsid w:val="00220B8D"/>
    <w:rsid w:val="00244090"/>
    <w:rsid w:val="00251300"/>
    <w:rsid w:val="00263795"/>
    <w:rsid w:val="00275C06"/>
    <w:rsid w:val="00277A54"/>
    <w:rsid w:val="002921BD"/>
    <w:rsid w:val="00294511"/>
    <w:rsid w:val="00294F9F"/>
    <w:rsid w:val="0029757B"/>
    <w:rsid w:val="002A64E4"/>
    <w:rsid w:val="002B2D23"/>
    <w:rsid w:val="002E4681"/>
    <w:rsid w:val="003070CB"/>
    <w:rsid w:val="0031779F"/>
    <w:rsid w:val="00337579"/>
    <w:rsid w:val="003468ED"/>
    <w:rsid w:val="0035288C"/>
    <w:rsid w:val="00356B1C"/>
    <w:rsid w:val="003632EA"/>
    <w:rsid w:val="00386BF0"/>
    <w:rsid w:val="003E045D"/>
    <w:rsid w:val="003E3A1B"/>
    <w:rsid w:val="003E4534"/>
    <w:rsid w:val="00401FF6"/>
    <w:rsid w:val="004111FF"/>
    <w:rsid w:val="00420C9B"/>
    <w:rsid w:val="00422706"/>
    <w:rsid w:val="004277A7"/>
    <w:rsid w:val="00444FCB"/>
    <w:rsid w:val="004534BC"/>
    <w:rsid w:val="0046428E"/>
    <w:rsid w:val="0049357C"/>
    <w:rsid w:val="004B0BCF"/>
    <w:rsid w:val="004C0A1C"/>
    <w:rsid w:val="004C248C"/>
    <w:rsid w:val="004E367E"/>
    <w:rsid w:val="004E3A40"/>
    <w:rsid w:val="00543FAB"/>
    <w:rsid w:val="00564D1D"/>
    <w:rsid w:val="00592B4C"/>
    <w:rsid w:val="005B39EE"/>
    <w:rsid w:val="005D3258"/>
    <w:rsid w:val="00607324"/>
    <w:rsid w:val="006326B0"/>
    <w:rsid w:val="00690C0E"/>
    <w:rsid w:val="0069539E"/>
    <w:rsid w:val="006A4DFF"/>
    <w:rsid w:val="006B7A4F"/>
    <w:rsid w:val="006C0A90"/>
    <w:rsid w:val="006F527D"/>
    <w:rsid w:val="007103A2"/>
    <w:rsid w:val="00720CE4"/>
    <w:rsid w:val="0073732C"/>
    <w:rsid w:val="00797790"/>
    <w:rsid w:val="007A5A51"/>
    <w:rsid w:val="007A7452"/>
    <w:rsid w:val="007B69E0"/>
    <w:rsid w:val="007C6369"/>
    <w:rsid w:val="007F0ADE"/>
    <w:rsid w:val="008179E7"/>
    <w:rsid w:val="00844830"/>
    <w:rsid w:val="00845012"/>
    <w:rsid w:val="00853875"/>
    <w:rsid w:val="00895320"/>
    <w:rsid w:val="008B7487"/>
    <w:rsid w:val="008E515A"/>
    <w:rsid w:val="00933C35"/>
    <w:rsid w:val="0093557D"/>
    <w:rsid w:val="00943E92"/>
    <w:rsid w:val="00955762"/>
    <w:rsid w:val="009824B1"/>
    <w:rsid w:val="009921E3"/>
    <w:rsid w:val="00995DBA"/>
    <w:rsid w:val="009A2AA5"/>
    <w:rsid w:val="009D1B30"/>
    <w:rsid w:val="009D219C"/>
    <w:rsid w:val="009D715E"/>
    <w:rsid w:val="009D7E7A"/>
    <w:rsid w:val="009E2245"/>
    <w:rsid w:val="009E30F4"/>
    <w:rsid w:val="009F5657"/>
    <w:rsid w:val="009F7309"/>
    <w:rsid w:val="00A01452"/>
    <w:rsid w:val="00A05870"/>
    <w:rsid w:val="00A07DAB"/>
    <w:rsid w:val="00A2723A"/>
    <w:rsid w:val="00A56FB0"/>
    <w:rsid w:val="00A63623"/>
    <w:rsid w:val="00A93919"/>
    <w:rsid w:val="00AE0043"/>
    <w:rsid w:val="00AF55DC"/>
    <w:rsid w:val="00B02A03"/>
    <w:rsid w:val="00B06BA7"/>
    <w:rsid w:val="00B576DA"/>
    <w:rsid w:val="00B66AAC"/>
    <w:rsid w:val="00B677C2"/>
    <w:rsid w:val="00B75AA9"/>
    <w:rsid w:val="00BA0DE8"/>
    <w:rsid w:val="00BA1296"/>
    <w:rsid w:val="00BA4AAB"/>
    <w:rsid w:val="00BD07A8"/>
    <w:rsid w:val="00BD1265"/>
    <w:rsid w:val="00C243B8"/>
    <w:rsid w:val="00C247D8"/>
    <w:rsid w:val="00C30014"/>
    <w:rsid w:val="00C74608"/>
    <w:rsid w:val="00C91FF2"/>
    <w:rsid w:val="00CB504B"/>
    <w:rsid w:val="00CC1B87"/>
    <w:rsid w:val="00CD0CED"/>
    <w:rsid w:val="00CF2811"/>
    <w:rsid w:val="00CF5167"/>
    <w:rsid w:val="00CF72C5"/>
    <w:rsid w:val="00D14AEE"/>
    <w:rsid w:val="00D51D4F"/>
    <w:rsid w:val="00D77856"/>
    <w:rsid w:val="00D80F4F"/>
    <w:rsid w:val="00D92BED"/>
    <w:rsid w:val="00DA2749"/>
    <w:rsid w:val="00DB087C"/>
    <w:rsid w:val="00DB1B38"/>
    <w:rsid w:val="00DB4938"/>
    <w:rsid w:val="00DB5914"/>
    <w:rsid w:val="00DC7187"/>
    <w:rsid w:val="00DC72BA"/>
    <w:rsid w:val="00DD5C7E"/>
    <w:rsid w:val="00DF066F"/>
    <w:rsid w:val="00E042B8"/>
    <w:rsid w:val="00E06159"/>
    <w:rsid w:val="00E16788"/>
    <w:rsid w:val="00E40190"/>
    <w:rsid w:val="00E46B16"/>
    <w:rsid w:val="00E54EE9"/>
    <w:rsid w:val="00E60DBD"/>
    <w:rsid w:val="00EA204B"/>
    <w:rsid w:val="00EB0929"/>
    <w:rsid w:val="00EB19F1"/>
    <w:rsid w:val="00EB29AE"/>
    <w:rsid w:val="00EB488F"/>
    <w:rsid w:val="00EC3476"/>
    <w:rsid w:val="00EC6DE0"/>
    <w:rsid w:val="00ED3486"/>
    <w:rsid w:val="00EF2500"/>
    <w:rsid w:val="00F1678E"/>
    <w:rsid w:val="00F32F8A"/>
    <w:rsid w:val="00F54352"/>
    <w:rsid w:val="00F65939"/>
    <w:rsid w:val="00F66DC7"/>
    <w:rsid w:val="00F67872"/>
    <w:rsid w:val="00F86932"/>
    <w:rsid w:val="00F8727F"/>
    <w:rsid w:val="00F9478F"/>
    <w:rsid w:val="00FA078A"/>
    <w:rsid w:val="00FA2C1D"/>
    <w:rsid w:val="00FD65D9"/>
    <w:rsid w:val="00FE2C6F"/>
    <w:rsid w:val="00FF3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aliases w:val="正文左"/>
    <w:qFormat/>
    <w:rsid w:val="0046428E"/>
    <w:pPr>
      <w:widowControl w:val="0"/>
      <w:jc w:val="both"/>
    </w:pPr>
    <w:rPr>
      <w:rFonts w:ascii="宋体" w:eastAsia="宋体"/>
    </w:rPr>
  </w:style>
  <w:style w:type="paragraph" w:styleId="1">
    <w:name w:val="heading 1"/>
    <w:basedOn w:val="a"/>
    <w:next w:val="a"/>
    <w:link w:val="1Char"/>
    <w:uiPriority w:val="9"/>
    <w:qFormat/>
    <w:rsid w:val="00A2723A"/>
    <w:pPr>
      <w:keepNext/>
      <w:keepLines/>
      <w:numPr>
        <w:numId w:val="2"/>
      </w:numPr>
      <w:spacing w:beforeLines="50" w:afterLines="50"/>
      <w:jc w:val="left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rsid w:val="004277A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rsid w:val="0079779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9779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9779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customStyle="1" w:styleId="Char">
    <w:name w:val="页眉 Char"/>
    <w:basedOn w:val="a0"/>
    <w:link w:val="a3"/>
    <w:uiPriority w:val="99"/>
    <w:rsid w:val="00CF72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2C5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Char0">
    <w:name w:val="页脚 Char"/>
    <w:basedOn w:val="a0"/>
    <w:link w:val="a4"/>
    <w:uiPriority w:val="99"/>
    <w:rsid w:val="00CF72C5"/>
    <w:rPr>
      <w:sz w:val="18"/>
      <w:szCs w:val="18"/>
    </w:rPr>
  </w:style>
  <w:style w:type="character" w:styleId="a5">
    <w:name w:val="footnote reference"/>
    <w:rsid w:val="00CF72C5"/>
    <w:rPr>
      <w:vertAlign w:val="superscript"/>
    </w:rPr>
  </w:style>
  <w:style w:type="paragraph" w:styleId="a6">
    <w:name w:val="footnote text"/>
    <w:basedOn w:val="a"/>
    <w:link w:val="Char1"/>
    <w:rsid w:val="00CF72C5"/>
    <w:pPr>
      <w:snapToGrid w:val="0"/>
      <w:jc w:val="left"/>
    </w:pPr>
  </w:style>
  <w:style w:type="character" w:customStyle="1" w:styleId="Char1">
    <w:name w:val="脚注文本 Char"/>
    <w:basedOn w:val="a0"/>
    <w:link w:val="a6"/>
    <w:rsid w:val="00CF72C5"/>
    <w:rPr>
      <w:rFonts w:ascii="Times New Roman" w:eastAsia="宋体" w:hAnsi="Times New Roman" w:cs="Times New Roman"/>
      <w:sz w:val="18"/>
      <w:szCs w:val="20"/>
    </w:rPr>
  </w:style>
  <w:style w:type="character" w:customStyle="1" w:styleId="1Char">
    <w:name w:val="标题 1 Char"/>
    <w:basedOn w:val="a0"/>
    <w:link w:val="1"/>
    <w:uiPriority w:val="9"/>
    <w:rsid w:val="0046428E"/>
    <w:rPr>
      <w:rFonts w:ascii="宋体" w:eastAsia="宋体"/>
      <w:b/>
      <w:bCs/>
      <w:kern w:val="44"/>
      <w:sz w:val="28"/>
      <w:szCs w:val="44"/>
    </w:rPr>
  </w:style>
  <w:style w:type="paragraph" w:styleId="TOC">
    <w:name w:val="TOC Heading"/>
    <w:basedOn w:val="1"/>
    <w:next w:val="a"/>
    <w:uiPriority w:val="39"/>
    <w:unhideWhenUsed/>
    <w:rsid w:val="009D7E7A"/>
    <w:pPr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9D7E7A"/>
  </w:style>
  <w:style w:type="character" w:styleId="a7">
    <w:name w:val="Hyperlink"/>
    <w:basedOn w:val="a0"/>
    <w:uiPriority w:val="99"/>
    <w:unhideWhenUsed/>
    <w:rsid w:val="009D7E7A"/>
    <w:rPr>
      <w:color w:val="0563C1" w:themeColor="hyperlink"/>
      <w:u w:val="single"/>
    </w:rPr>
  </w:style>
  <w:style w:type="paragraph" w:customStyle="1" w:styleId="11">
    <w:name w:val="主标题1"/>
    <w:basedOn w:val="a"/>
    <w:next w:val="a"/>
    <w:link w:val="1Char0"/>
    <w:rsid w:val="0031779F"/>
    <w:pPr>
      <w:adjustRightInd w:val="0"/>
      <w:snapToGrid w:val="0"/>
      <w:jc w:val="center"/>
    </w:pPr>
    <w:rPr>
      <w:rFonts w:hAnsi="宋体" w:cs="宋体"/>
      <w:bCs/>
      <w:sz w:val="44"/>
      <w:szCs w:val="24"/>
    </w:rPr>
  </w:style>
  <w:style w:type="character" w:customStyle="1" w:styleId="1Char0">
    <w:name w:val="主标题1 Char"/>
    <w:basedOn w:val="a0"/>
    <w:link w:val="11"/>
    <w:rsid w:val="0031779F"/>
    <w:rPr>
      <w:rFonts w:ascii="宋体" w:eastAsia="宋体" w:hAnsi="宋体" w:cs="宋体"/>
      <w:bCs/>
      <w:sz w:val="44"/>
      <w:szCs w:val="24"/>
    </w:rPr>
  </w:style>
  <w:style w:type="paragraph" w:customStyle="1" w:styleId="12">
    <w:name w:val="副标题1"/>
    <w:basedOn w:val="a"/>
    <w:next w:val="a"/>
    <w:link w:val="1Char1"/>
    <w:rsid w:val="0031779F"/>
    <w:pPr>
      <w:adjustRightInd w:val="0"/>
      <w:snapToGrid w:val="0"/>
      <w:spacing w:line="400" w:lineRule="exact"/>
      <w:jc w:val="center"/>
    </w:pPr>
    <w:rPr>
      <w:rFonts w:hAnsi="宋体" w:cs="宋体"/>
      <w:bCs/>
      <w:sz w:val="32"/>
      <w:szCs w:val="24"/>
    </w:rPr>
  </w:style>
  <w:style w:type="character" w:customStyle="1" w:styleId="1Char1">
    <w:name w:val="副标题1 Char"/>
    <w:basedOn w:val="a0"/>
    <w:link w:val="12"/>
    <w:rsid w:val="0031779F"/>
    <w:rPr>
      <w:rFonts w:ascii="宋体" w:eastAsia="宋体" w:hAnsi="宋体" w:cs="宋体"/>
      <w:bCs/>
      <w:sz w:val="32"/>
      <w:szCs w:val="24"/>
    </w:rPr>
  </w:style>
  <w:style w:type="character" w:customStyle="1" w:styleId="2Char">
    <w:name w:val="标题 2 Char"/>
    <w:basedOn w:val="a0"/>
    <w:link w:val="2"/>
    <w:uiPriority w:val="9"/>
    <w:rsid w:val="004277A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正文中"/>
    <w:qFormat/>
    <w:rsid w:val="0046428E"/>
    <w:pPr>
      <w:jc w:val="center"/>
    </w:pPr>
    <w:rPr>
      <w:rFonts w:ascii="宋体" w:eastAsia="宋体" w:hAnsiTheme="majorEastAsia" w:cs="Times New Roman"/>
      <w:szCs w:val="44"/>
    </w:rPr>
  </w:style>
  <w:style w:type="paragraph" w:customStyle="1" w:styleId="a9">
    <w:name w:val="正文右"/>
    <w:qFormat/>
    <w:rsid w:val="0046428E"/>
    <w:pPr>
      <w:jc w:val="right"/>
    </w:pPr>
    <w:rPr>
      <w:rFonts w:ascii="宋体" w:eastAsia="宋体" w:hAnsiTheme="majorEastAsia" w:cs="Times New Roman"/>
      <w:szCs w:val="44"/>
    </w:rPr>
  </w:style>
  <w:style w:type="paragraph" w:styleId="aa">
    <w:name w:val="Normal Indent"/>
    <w:link w:val="Char2"/>
    <w:qFormat/>
    <w:rsid w:val="0046428E"/>
    <w:pPr>
      <w:spacing w:line="360" w:lineRule="auto"/>
      <w:ind w:firstLineChars="200" w:firstLine="200"/>
    </w:pPr>
    <w:rPr>
      <w:rFonts w:ascii="宋体" w:eastAsia="宋体"/>
    </w:rPr>
  </w:style>
  <w:style w:type="paragraph" w:customStyle="1" w:styleId="13">
    <w:name w:val="样式1"/>
    <w:basedOn w:val="1"/>
    <w:next w:val="1"/>
    <w:link w:val="1Char2"/>
    <w:rsid w:val="00797790"/>
    <w:pPr>
      <w:ind w:firstLine="560"/>
      <w:jc w:val="right"/>
    </w:pPr>
    <w:rPr>
      <w:b w:val="0"/>
      <w:szCs w:val="28"/>
    </w:rPr>
  </w:style>
  <w:style w:type="paragraph" w:customStyle="1" w:styleId="20">
    <w:name w:val="样式2"/>
    <w:basedOn w:val="13"/>
    <w:link w:val="2Char0"/>
    <w:rsid w:val="00797790"/>
    <w:pPr>
      <w:numPr>
        <w:numId w:val="0"/>
      </w:numPr>
      <w:spacing w:beforeLines="0" w:afterLines="0" w:line="416" w:lineRule="auto"/>
      <w:ind w:firstLine="560"/>
      <w:outlineLvl w:val="1"/>
    </w:pPr>
    <w:rPr>
      <w:rFonts w:asciiTheme="majorHAnsi" w:eastAsiaTheme="majorEastAsia" w:hAnsiTheme="majorHAnsi" w:cstheme="majorBidi"/>
      <w:kern w:val="2"/>
    </w:rPr>
  </w:style>
  <w:style w:type="character" w:customStyle="1" w:styleId="7Char">
    <w:name w:val="标题 7 Char"/>
    <w:basedOn w:val="a0"/>
    <w:link w:val="7"/>
    <w:uiPriority w:val="9"/>
    <w:semiHidden/>
    <w:rsid w:val="00797790"/>
    <w:rPr>
      <w:rFonts w:ascii="宋体" w:eastAsia="宋体"/>
      <w:b/>
      <w:bCs/>
      <w:sz w:val="24"/>
      <w:szCs w:val="24"/>
    </w:rPr>
  </w:style>
  <w:style w:type="character" w:customStyle="1" w:styleId="Char2">
    <w:name w:val="正文缩进 Char"/>
    <w:basedOn w:val="a0"/>
    <w:link w:val="aa"/>
    <w:rsid w:val="00797790"/>
    <w:rPr>
      <w:rFonts w:ascii="宋体" w:eastAsia="宋体"/>
    </w:rPr>
  </w:style>
  <w:style w:type="character" w:customStyle="1" w:styleId="1Char2">
    <w:name w:val="样式1 Char"/>
    <w:basedOn w:val="Char2"/>
    <w:link w:val="13"/>
    <w:rsid w:val="00CF2811"/>
    <w:rPr>
      <w:rFonts w:ascii="宋体" w:eastAsia="宋体"/>
      <w:bCs/>
      <w:kern w:val="44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97790"/>
    <w:rPr>
      <w:rFonts w:ascii="宋体" w:eastAsia="宋体"/>
      <w:b/>
      <w:b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797790"/>
    <w:rPr>
      <w:rFonts w:ascii="宋体" w:eastAsia="宋体"/>
      <w:b/>
      <w:bCs/>
      <w:sz w:val="32"/>
      <w:szCs w:val="32"/>
    </w:rPr>
  </w:style>
  <w:style w:type="character" w:customStyle="1" w:styleId="2Char0">
    <w:name w:val="样式2 Char"/>
    <w:basedOn w:val="1Char2"/>
    <w:link w:val="20"/>
    <w:rsid w:val="00797790"/>
    <w:rPr>
      <w:rFonts w:asciiTheme="majorHAnsi" w:eastAsiaTheme="majorEastAsia" w:hAnsiTheme="majorHAnsi" w:cstheme="majorBidi"/>
      <w:bCs/>
      <w:kern w:val="44"/>
      <w:sz w:val="28"/>
      <w:szCs w:val="28"/>
    </w:rPr>
  </w:style>
  <w:style w:type="table" w:styleId="ab">
    <w:name w:val="Table Grid"/>
    <w:basedOn w:val="a1"/>
    <w:uiPriority w:val="39"/>
    <w:rsid w:val="00346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7C8C5100-1FA6-413E-BCC5-339850F37499}">
  <ds:schemaRefs>
    <ds:schemaRef ds:uri="http://schemas.openxmlformats.org/drawingml/2006/lockedCanvas"/>
    <ds:schemaRef ds:uri="http://schemas.openxmlformats.org/drawingml/2006/compatibility"/>
    <ds:schemaRef ds:uri="http://schemas.microsoft.com/office/word/2010/wordprocessingDrawing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markup-compatibility/2006"/>
    <ds:schemaRef ds:uri="http://schemas.openxmlformats.org/schemaLibrary/2006/main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4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</dc:creator>
  <cp:keywords/>
  <dc:description/>
  <cp:lastModifiedBy>ZHONGM</cp:lastModifiedBy>
  <cp:revision>2</cp:revision>
  <dcterms:created xsi:type="dcterms:W3CDTF">2025-12-26T16:02:00Z</dcterms:created>
  <dcterms:modified xsi:type="dcterms:W3CDTF">2025-12-26T16:02:00Z</dcterms:modified>
</cp:coreProperties>
</file>