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BA" w:rsidRDefault="004C380D">
      <w:pPr>
        <w:widowControl/>
        <w:jc w:val="center"/>
        <w:rPr>
          <w:rFonts w:eastAsia="宋体"/>
          <w:b/>
          <w:color w:val="000000" w:themeColor="text1"/>
          <w:kern w:val="0"/>
          <w:sz w:val="30"/>
          <w:szCs w:val="30"/>
        </w:rPr>
      </w:pPr>
      <w:r>
        <w:rPr>
          <w:rFonts w:eastAsia="宋体"/>
          <w:b/>
          <w:color w:val="000000" w:themeColor="text1"/>
          <w:kern w:val="0"/>
          <w:sz w:val="30"/>
          <w:szCs w:val="30"/>
        </w:rPr>
        <w:t>海富通中证港股通科技交易型开放式指数证券投资基金发起式联接基金节假日暂停申购、赎回</w:t>
      </w:r>
      <w:r>
        <w:rPr>
          <w:rFonts w:eastAsia="宋体" w:hint="eastAsia"/>
          <w:b/>
          <w:color w:val="000000" w:themeColor="text1"/>
          <w:kern w:val="0"/>
          <w:sz w:val="30"/>
          <w:szCs w:val="30"/>
        </w:rPr>
        <w:t>、</w:t>
      </w:r>
      <w:r>
        <w:rPr>
          <w:rFonts w:eastAsia="宋体"/>
          <w:b/>
          <w:color w:val="000000" w:themeColor="text1"/>
          <w:kern w:val="0"/>
          <w:sz w:val="30"/>
          <w:szCs w:val="30"/>
        </w:rPr>
        <w:t>转换</w:t>
      </w:r>
      <w:r>
        <w:rPr>
          <w:rFonts w:eastAsia="宋体" w:hint="eastAsia"/>
          <w:b/>
          <w:color w:val="000000" w:themeColor="text1"/>
          <w:kern w:val="0"/>
          <w:sz w:val="30"/>
          <w:szCs w:val="30"/>
        </w:rPr>
        <w:t>、定期定额投资</w:t>
      </w:r>
      <w:r>
        <w:rPr>
          <w:rFonts w:eastAsia="宋体"/>
          <w:b/>
          <w:color w:val="000000" w:themeColor="text1"/>
          <w:kern w:val="0"/>
          <w:sz w:val="30"/>
          <w:szCs w:val="30"/>
        </w:rPr>
        <w:t>业务公告</w:t>
      </w:r>
    </w:p>
    <w:p w:rsidR="00337CBA" w:rsidRDefault="004C380D">
      <w:pPr>
        <w:spacing w:line="560" w:lineRule="exact"/>
        <w:jc w:val="center"/>
        <w:rPr>
          <w:rFonts w:eastAsia="宋体"/>
          <w:bCs/>
          <w:color w:val="000000" w:themeColor="text1"/>
          <w:sz w:val="24"/>
          <w:szCs w:val="24"/>
        </w:rPr>
      </w:pPr>
      <w:r>
        <w:rPr>
          <w:rFonts w:eastAsia="宋体"/>
          <w:color w:val="000000" w:themeColor="text1"/>
          <w:sz w:val="24"/>
          <w:szCs w:val="24"/>
        </w:rPr>
        <w:t>公告送出日期：</w:t>
      </w:r>
      <w:r>
        <w:rPr>
          <w:rFonts w:eastAsia="宋体"/>
          <w:bCs/>
          <w:color w:val="000000" w:themeColor="text1"/>
          <w:sz w:val="24"/>
          <w:szCs w:val="24"/>
        </w:rPr>
        <w:t>202</w:t>
      </w:r>
      <w:r>
        <w:rPr>
          <w:rFonts w:eastAsia="宋体" w:hint="eastAsia"/>
          <w:bCs/>
          <w:color w:val="000000" w:themeColor="text1"/>
          <w:sz w:val="24"/>
          <w:szCs w:val="24"/>
        </w:rPr>
        <w:t>5</w:t>
      </w:r>
      <w:r>
        <w:rPr>
          <w:rFonts w:eastAsia="宋体"/>
          <w:bCs/>
          <w:color w:val="000000" w:themeColor="text1"/>
          <w:sz w:val="24"/>
          <w:szCs w:val="24"/>
        </w:rPr>
        <w:t>年</w:t>
      </w:r>
      <w:r>
        <w:rPr>
          <w:rFonts w:eastAsia="宋体" w:hint="eastAsia"/>
          <w:bCs/>
          <w:color w:val="000000" w:themeColor="text1"/>
          <w:sz w:val="24"/>
          <w:szCs w:val="24"/>
        </w:rPr>
        <w:t>12</w:t>
      </w:r>
      <w:r>
        <w:rPr>
          <w:rFonts w:eastAsia="宋体"/>
          <w:bCs/>
          <w:color w:val="000000" w:themeColor="text1"/>
          <w:sz w:val="24"/>
          <w:szCs w:val="24"/>
        </w:rPr>
        <w:t>月</w:t>
      </w:r>
      <w:r>
        <w:rPr>
          <w:rFonts w:eastAsia="宋体" w:hint="eastAsia"/>
          <w:bCs/>
          <w:color w:val="000000" w:themeColor="text1"/>
          <w:sz w:val="24"/>
          <w:szCs w:val="24"/>
        </w:rPr>
        <w:t>2</w:t>
      </w:r>
      <w:r w:rsidR="00FB75F8">
        <w:rPr>
          <w:rFonts w:eastAsia="宋体" w:hint="eastAsia"/>
          <w:bCs/>
          <w:color w:val="000000" w:themeColor="text1"/>
          <w:sz w:val="24"/>
          <w:szCs w:val="24"/>
        </w:rPr>
        <w:t>6</w:t>
      </w:r>
      <w:r>
        <w:rPr>
          <w:rFonts w:eastAsia="宋体"/>
          <w:bCs/>
          <w:color w:val="000000" w:themeColor="text1"/>
          <w:sz w:val="24"/>
          <w:szCs w:val="24"/>
        </w:rPr>
        <w:t>日</w:t>
      </w:r>
    </w:p>
    <w:p w:rsidR="00337CBA" w:rsidRDefault="00337CBA">
      <w:pPr>
        <w:spacing w:line="560" w:lineRule="exact"/>
        <w:jc w:val="center"/>
        <w:rPr>
          <w:rFonts w:eastAsia="宋体"/>
          <w:color w:val="000000" w:themeColor="text1"/>
          <w:sz w:val="24"/>
          <w:szCs w:val="24"/>
        </w:rPr>
      </w:pPr>
    </w:p>
    <w:p w:rsidR="00337CBA" w:rsidRDefault="004C380D">
      <w:pPr>
        <w:pStyle w:val="2"/>
        <w:spacing w:line="560" w:lineRule="exact"/>
        <w:rPr>
          <w:rFonts w:ascii="Times New Roman" w:eastAsia="宋体" w:hAnsi="Times New Roman"/>
          <w:bCs w:val="0"/>
          <w:color w:val="000000" w:themeColor="text1"/>
          <w:sz w:val="24"/>
          <w:szCs w:val="24"/>
        </w:rPr>
      </w:pPr>
      <w:bookmarkStart w:id="0" w:name="_Toc275961405"/>
      <w:r>
        <w:rPr>
          <w:rFonts w:ascii="Times New Roman" w:eastAsia="宋体" w:hAnsi="Times New Roman"/>
          <w:bCs w:val="0"/>
          <w:color w:val="000000" w:themeColor="text1"/>
          <w:sz w:val="24"/>
          <w:szCs w:val="24"/>
        </w:rPr>
        <w:t xml:space="preserve">1 </w:t>
      </w:r>
      <w:r>
        <w:rPr>
          <w:rFonts w:ascii="Times New Roman" w:eastAsia="宋体" w:hAnsi="Times New Roman"/>
          <w:bCs w:val="0"/>
          <w:color w:val="000000" w:themeColor="text1"/>
          <w:sz w:val="24"/>
          <w:szCs w:val="24"/>
        </w:rPr>
        <w:t>公告基本信息</w:t>
      </w:r>
      <w:bookmarkEnd w:id="0"/>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792"/>
      </w:tblGrid>
      <w:tr w:rsidR="00337CBA">
        <w:trPr>
          <w:jc w:val="center"/>
        </w:trPr>
        <w:tc>
          <w:tcPr>
            <w:tcW w:w="3053" w:type="dxa"/>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基金名称</w:t>
            </w:r>
          </w:p>
        </w:tc>
        <w:tc>
          <w:tcPr>
            <w:tcW w:w="6686" w:type="dxa"/>
            <w:gridSpan w:val="2"/>
            <w:vAlign w:val="center"/>
          </w:tcPr>
          <w:p w:rsidR="00337CBA" w:rsidRDefault="004C380D">
            <w:pPr>
              <w:rPr>
                <w:rFonts w:eastAsia="宋体"/>
                <w:color w:val="000000" w:themeColor="text1"/>
                <w:sz w:val="24"/>
                <w:szCs w:val="24"/>
              </w:rPr>
            </w:pPr>
            <w:r>
              <w:rPr>
                <w:rFonts w:eastAsia="宋体"/>
                <w:color w:val="000000" w:themeColor="text1"/>
                <w:sz w:val="24"/>
                <w:szCs w:val="24"/>
              </w:rPr>
              <w:t>海富通中证港股通科技交易型开放式指数证券投资基金发起式联接基金</w:t>
            </w:r>
          </w:p>
        </w:tc>
      </w:tr>
      <w:tr w:rsidR="00337CBA">
        <w:trPr>
          <w:jc w:val="center"/>
        </w:trPr>
        <w:tc>
          <w:tcPr>
            <w:tcW w:w="3053" w:type="dxa"/>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基金简称</w:t>
            </w:r>
          </w:p>
        </w:tc>
        <w:tc>
          <w:tcPr>
            <w:tcW w:w="6686" w:type="dxa"/>
            <w:gridSpan w:val="2"/>
            <w:vAlign w:val="center"/>
          </w:tcPr>
          <w:p w:rsidR="00337CBA" w:rsidRDefault="004C380D">
            <w:pPr>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p>
        </w:tc>
      </w:tr>
      <w:tr w:rsidR="00337CBA">
        <w:trPr>
          <w:jc w:val="center"/>
        </w:trPr>
        <w:tc>
          <w:tcPr>
            <w:tcW w:w="3053" w:type="dxa"/>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基金主代码</w:t>
            </w:r>
          </w:p>
        </w:tc>
        <w:tc>
          <w:tcPr>
            <w:tcW w:w="6686" w:type="dxa"/>
            <w:gridSpan w:val="2"/>
            <w:vAlign w:val="center"/>
          </w:tcPr>
          <w:p w:rsidR="00337CBA" w:rsidRDefault="004C380D">
            <w:pPr>
              <w:rPr>
                <w:rFonts w:eastAsia="宋体"/>
                <w:color w:val="000000" w:themeColor="text1"/>
                <w:sz w:val="24"/>
                <w:szCs w:val="24"/>
              </w:rPr>
            </w:pPr>
            <w:r>
              <w:rPr>
                <w:rFonts w:eastAsia="宋体"/>
                <w:color w:val="000000" w:themeColor="text1"/>
                <w:sz w:val="24"/>
                <w:szCs w:val="24"/>
              </w:rPr>
              <w:t>021464</w:t>
            </w:r>
          </w:p>
        </w:tc>
      </w:tr>
      <w:tr w:rsidR="00337CBA">
        <w:trPr>
          <w:jc w:val="center"/>
        </w:trPr>
        <w:tc>
          <w:tcPr>
            <w:tcW w:w="3053" w:type="dxa"/>
          </w:tcPr>
          <w:p w:rsidR="00337CBA" w:rsidRDefault="004C380D">
            <w:pPr>
              <w:spacing w:line="560" w:lineRule="exact"/>
              <w:rPr>
                <w:rFonts w:eastAsia="宋体"/>
                <w:color w:val="000000" w:themeColor="text1"/>
                <w:kern w:val="0"/>
                <w:sz w:val="24"/>
                <w:szCs w:val="24"/>
              </w:rPr>
            </w:pPr>
            <w:r>
              <w:rPr>
                <w:rFonts w:eastAsia="宋体"/>
                <w:color w:val="000000" w:themeColor="text1"/>
                <w:sz w:val="24"/>
                <w:szCs w:val="24"/>
              </w:rPr>
              <w:t>基金管理人名称</w:t>
            </w:r>
          </w:p>
        </w:tc>
        <w:tc>
          <w:tcPr>
            <w:tcW w:w="6686" w:type="dxa"/>
            <w:gridSpan w:val="2"/>
            <w:vAlign w:val="center"/>
          </w:tcPr>
          <w:p w:rsidR="00337CBA" w:rsidRDefault="004C380D">
            <w:pPr>
              <w:rPr>
                <w:rFonts w:eastAsia="宋体"/>
                <w:color w:val="000000" w:themeColor="text1"/>
                <w:sz w:val="24"/>
                <w:szCs w:val="24"/>
              </w:rPr>
            </w:pPr>
            <w:r>
              <w:rPr>
                <w:rFonts w:eastAsia="宋体"/>
                <w:color w:val="000000" w:themeColor="text1"/>
                <w:sz w:val="24"/>
                <w:szCs w:val="24"/>
              </w:rPr>
              <w:t>海富通基金管理有限公司</w:t>
            </w:r>
          </w:p>
        </w:tc>
      </w:tr>
      <w:tr w:rsidR="00337CBA">
        <w:trPr>
          <w:jc w:val="center"/>
        </w:trPr>
        <w:tc>
          <w:tcPr>
            <w:tcW w:w="3053" w:type="dxa"/>
          </w:tcPr>
          <w:p w:rsidR="00337CBA" w:rsidRDefault="004C380D">
            <w:pPr>
              <w:spacing w:line="560" w:lineRule="exact"/>
              <w:rPr>
                <w:rFonts w:eastAsia="宋体"/>
                <w:color w:val="000000" w:themeColor="text1"/>
                <w:kern w:val="0"/>
                <w:sz w:val="24"/>
                <w:szCs w:val="24"/>
              </w:rPr>
            </w:pPr>
            <w:r>
              <w:rPr>
                <w:rFonts w:eastAsia="宋体"/>
                <w:color w:val="000000" w:themeColor="text1"/>
                <w:sz w:val="24"/>
                <w:szCs w:val="24"/>
              </w:rPr>
              <w:t>公告依据</w:t>
            </w:r>
          </w:p>
        </w:tc>
        <w:tc>
          <w:tcPr>
            <w:tcW w:w="6686" w:type="dxa"/>
            <w:gridSpan w:val="2"/>
            <w:vAlign w:val="center"/>
          </w:tcPr>
          <w:p w:rsidR="00337CBA" w:rsidRDefault="004C380D">
            <w:pPr>
              <w:rPr>
                <w:rFonts w:eastAsia="宋体"/>
                <w:color w:val="000000" w:themeColor="text1"/>
                <w:sz w:val="24"/>
                <w:szCs w:val="24"/>
              </w:rPr>
            </w:pPr>
            <w:r>
              <w:rPr>
                <w:rFonts w:eastAsia="宋体"/>
                <w:color w:val="000000" w:themeColor="text1"/>
                <w:sz w:val="24"/>
                <w:szCs w:val="24"/>
              </w:rPr>
              <w:t>《海富通中证港股通科技交易型开放式指数证券投资基金发起式联接基金</w:t>
            </w:r>
            <w:r>
              <w:rPr>
                <w:rFonts w:eastAsia="宋体"/>
                <w:color w:val="000000" w:themeColor="text1"/>
                <w:sz w:val="24"/>
              </w:rPr>
              <w:t>基金合同》、《</w:t>
            </w:r>
            <w:r>
              <w:rPr>
                <w:rFonts w:eastAsia="宋体"/>
                <w:color w:val="000000" w:themeColor="text1"/>
                <w:sz w:val="24"/>
                <w:szCs w:val="24"/>
              </w:rPr>
              <w:t>海富通中证港股通科技交易型开放式指数证券投资基金发起式联接基金</w:t>
            </w:r>
            <w:r>
              <w:rPr>
                <w:rFonts w:eastAsia="宋体"/>
                <w:color w:val="000000" w:themeColor="text1"/>
                <w:sz w:val="24"/>
              </w:rPr>
              <w:t>招募说明书》</w:t>
            </w:r>
          </w:p>
        </w:tc>
      </w:tr>
      <w:tr w:rsidR="00337CBA">
        <w:trPr>
          <w:jc w:val="center"/>
        </w:trPr>
        <w:tc>
          <w:tcPr>
            <w:tcW w:w="3053" w:type="dxa"/>
            <w:vMerge w:val="restart"/>
            <w:vAlign w:val="center"/>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暂停相关业务的起始日及原因说明</w:t>
            </w:r>
          </w:p>
        </w:tc>
        <w:tc>
          <w:tcPr>
            <w:tcW w:w="2894" w:type="dxa"/>
          </w:tcPr>
          <w:p w:rsidR="00337CBA" w:rsidRDefault="004C380D">
            <w:pPr>
              <w:spacing w:line="560" w:lineRule="exact"/>
              <w:rPr>
                <w:rFonts w:eastAsia="宋体"/>
                <w:color w:val="000000" w:themeColor="text1"/>
                <w:kern w:val="0"/>
                <w:sz w:val="24"/>
                <w:szCs w:val="24"/>
              </w:rPr>
            </w:pPr>
            <w:r>
              <w:rPr>
                <w:rFonts w:eastAsia="宋体"/>
                <w:color w:val="000000" w:themeColor="text1"/>
                <w:sz w:val="24"/>
                <w:szCs w:val="24"/>
              </w:rPr>
              <w:t>暂停申购起始日</w:t>
            </w:r>
          </w:p>
        </w:tc>
        <w:tc>
          <w:tcPr>
            <w:tcW w:w="3792" w:type="dxa"/>
            <w:vAlign w:val="center"/>
          </w:tcPr>
          <w:p w:rsidR="00337CBA" w:rsidRDefault="004C380D">
            <w:pPr>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31</w:t>
            </w:r>
            <w:r>
              <w:rPr>
                <w:rFonts w:eastAsia="宋体"/>
                <w:color w:val="000000" w:themeColor="text1"/>
                <w:sz w:val="24"/>
                <w:szCs w:val="24"/>
              </w:rPr>
              <w:t>日</w:t>
            </w:r>
          </w:p>
        </w:tc>
      </w:tr>
      <w:tr w:rsidR="00337CBA">
        <w:trPr>
          <w:trHeight w:val="210"/>
          <w:jc w:val="center"/>
        </w:trPr>
        <w:tc>
          <w:tcPr>
            <w:tcW w:w="3053" w:type="dxa"/>
            <w:vMerge/>
          </w:tcPr>
          <w:p w:rsidR="00337CBA" w:rsidRDefault="00337CBA">
            <w:pPr>
              <w:rPr>
                <w:rFonts w:eastAsia="宋体"/>
                <w:color w:val="000000" w:themeColor="text1"/>
                <w:sz w:val="24"/>
                <w:szCs w:val="24"/>
              </w:rPr>
            </w:pPr>
          </w:p>
        </w:tc>
        <w:tc>
          <w:tcPr>
            <w:tcW w:w="2894" w:type="dxa"/>
          </w:tcPr>
          <w:p w:rsidR="00337CBA" w:rsidRDefault="004C380D">
            <w:pPr>
              <w:spacing w:line="560" w:lineRule="exact"/>
              <w:rPr>
                <w:rFonts w:eastAsia="宋体"/>
                <w:color w:val="000000" w:themeColor="text1"/>
                <w:kern w:val="0"/>
                <w:sz w:val="24"/>
                <w:szCs w:val="24"/>
              </w:rPr>
            </w:pPr>
            <w:r>
              <w:rPr>
                <w:rFonts w:eastAsia="宋体"/>
                <w:color w:val="000000" w:themeColor="text1"/>
                <w:sz w:val="24"/>
                <w:szCs w:val="24"/>
              </w:rPr>
              <w:t>暂停转换转入起始日</w:t>
            </w:r>
          </w:p>
        </w:tc>
        <w:tc>
          <w:tcPr>
            <w:tcW w:w="3792" w:type="dxa"/>
            <w:vAlign w:val="center"/>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31</w:t>
            </w:r>
            <w:r>
              <w:rPr>
                <w:rFonts w:eastAsia="宋体"/>
                <w:color w:val="000000" w:themeColor="text1"/>
                <w:sz w:val="24"/>
                <w:szCs w:val="24"/>
              </w:rPr>
              <w:t>日</w:t>
            </w:r>
          </w:p>
        </w:tc>
      </w:tr>
      <w:tr w:rsidR="00337CBA">
        <w:trPr>
          <w:trHeight w:val="345"/>
          <w:jc w:val="center"/>
        </w:trPr>
        <w:tc>
          <w:tcPr>
            <w:tcW w:w="3053" w:type="dxa"/>
            <w:vMerge/>
          </w:tcPr>
          <w:p w:rsidR="00337CBA" w:rsidRDefault="00337CBA">
            <w:pPr>
              <w:rPr>
                <w:rFonts w:eastAsia="宋体"/>
                <w:color w:val="000000" w:themeColor="text1"/>
                <w:sz w:val="24"/>
                <w:szCs w:val="24"/>
              </w:rPr>
            </w:pPr>
          </w:p>
        </w:tc>
        <w:tc>
          <w:tcPr>
            <w:tcW w:w="2894" w:type="dxa"/>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暂停赎回起始日</w:t>
            </w:r>
          </w:p>
        </w:tc>
        <w:tc>
          <w:tcPr>
            <w:tcW w:w="3792" w:type="dxa"/>
            <w:vAlign w:val="center"/>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31</w:t>
            </w:r>
            <w:r>
              <w:rPr>
                <w:rFonts w:eastAsia="宋体"/>
                <w:color w:val="000000" w:themeColor="text1"/>
                <w:sz w:val="24"/>
                <w:szCs w:val="24"/>
              </w:rPr>
              <w:t>日</w:t>
            </w:r>
          </w:p>
        </w:tc>
      </w:tr>
      <w:tr w:rsidR="00337CBA">
        <w:trPr>
          <w:trHeight w:val="345"/>
          <w:jc w:val="center"/>
        </w:trPr>
        <w:tc>
          <w:tcPr>
            <w:tcW w:w="3053" w:type="dxa"/>
            <w:vMerge/>
          </w:tcPr>
          <w:p w:rsidR="00337CBA" w:rsidRDefault="00337CBA">
            <w:pPr>
              <w:rPr>
                <w:rFonts w:eastAsia="宋体"/>
                <w:color w:val="000000" w:themeColor="text1"/>
                <w:sz w:val="24"/>
                <w:szCs w:val="24"/>
              </w:rPr>
            </w:pPr>
          </w:p>
        </w:tc>
        <w:tc>
          <w:tcPr>
            <w:tcW w:w="2894" w:type="dxa"/>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暂停转换转出起始日</w:t>
            </w:r>
          </w:p>
        </w:tc>
        <w:tc>
          <w:tcPr>
            <w:tcW w:w="3792" w:type="dxa"/>
            <w:vAlign w:val="center"/>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31</w:t>
            </w:r>
            <w:r>
              <w:rPr>
                <w:rFonts w:eastAsia="宋体"/>
                <w:color w:val="000000" w:themeColor="text1"/>
                <w:sz w:val="24"/>
                <w:szCs w:val="24"/>
              </w:rPr>
              <w:t>日</w:t>
            </w:r>
          </w:p>
        </w:tc>
      </w:tr>
      <w:tr w:rsidR="00337CBA">
        <w:trPr>
          <w:jc w:val="center"/>
        </w:trPr>
        <w:tc>
          <w:tcPr>
            <w:tcW w:w="3053" w:type="dxa"/>
            <w:vMerge/>
          </w:tcPr>
          <w:p w:rsidR="00337CBA" w:rsidRDefault="00337CBA">
            <w:pPr>
              <w:rPr>
                <w:rFonts w:eastAsia="宋体"/>
                <w:color w:val="000000" w:themeColor="text1"/>
              </w:rPr>
            </w:pPr>
          </w:p>
        </w:tc>
        <w:tc>
          <w:tcPr>
            <w:tcW w:w="2894" w:type="dxa"/>
          </w:tcPr>
          <w:p w:rsidR="00337CBA" w:rsidRDefault="004C380D">
            <w:pPr>
              <w:spacing w:line="560" w:lineRule="exact"/>
              <w:rPr>
                <w:rFonts w:eastAsia="宋体"/>
                <w:color w:val="000000" w:themeColor="text1"/>
                <w:sz w:val="24"/>
                <w:szCs w:val="24"/>
              </w:rPr>
            </w:pPr>
            <w:r>
              <w:rPr>
                <w:rFonts w:eastAsia="宋体" w:hint="eastAsia"/>
                <w:color w:val="000000" w:themeColor="text1"/>
                <w:sz w:val="24"/>
                <w:szCs w:val="24"/>
              </w:rPr>
              <w:t>暂停定期定额投资起始日</w:t>
            </w:r>
          </w:p>
        </w:tc>
        <w:tc>
          <w:tcPr>
            <w:tcW w:w="3792" w:type="dxa"/>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31</w:t>
            </w:r>
            <w:r>
              <w:rPr>
                <w:rFonts w:eastAsia="宋体"/>
                <w:color w:val="000000" w:themeColor="text1"/>
                <w:sz w:val="24"/>
                <w:szCs w:val="24"/>
              </w:rPr>
              <w:t>日</w:t>
            </w:r>
          </w:p>
        </w:tc>
      </w:tr>
      <w:tr w:rsidR="00337CBA">
        <w:trPr>
          <w:jc w:val="center"/>
        </w:trPr>
        <w:tc>
          <w:tcPr>
            <w:tcW w:w="3053" w:type="dxa"/>
            <w:vMerge/>
          </w:tcPr>
          <w:p w:rsidR="00337CBA" w:rsidRDefault="00337CBA">
            <w:pPr>
              <w:rPr>
                <w:rFonts w:eastAsia="宋体"/>
                <w:color w:val="000000" w:themeColor="text1"/>
              </w:rPr>
            </w:pPr>
          </w:p>
        </w:tc>
        <w:tc>
          <w:tcPr>
            <w:tcW w:w="2894" w:type="dxa"/>
          </w:tcPr>
          <w:p w:rsidR="00337CBA" w:rsidRDefault="004C380D">
            <w:pPr>
              <w:spacing w:line="560" w:lineRule="exact"/>
              <w:rPr>
                <w:rFonts w:eastAsia="宋体"/>
                <w:color w:val="000000" w:themeColor="text1"/>
                <w:kern w:val="0"/>
                <w:sz w:val="24"/>
                <w:szCs w:val="24"/>
              </w:rPr>
            </w:pPr>
            <w:r>
              <w:rPr>
                <w:rFonts w:eastAsia="宋体"/>
                <w:color w:val="000000" w:themeColor="text1"/>
                <w:sz w:val="24"/>
                <w:szCs w:val="24"/>
              </w:rPr>
              <w:t>暂停申购（含日常申购和定期定额投资业务）、赎回、转换业务的原因说明</w:t>
            </w:r>
          </w:p>
        </w:tc>
        <w:tc>
          <w:tcPr>
            <w:tcW w:w="3792" w:type="dxa"/>
          </w:tcPr>
          <w:p w:rsidR="00337CBA" w:rsidRDefault="001A6C1F">
            <w:pPr>
              <w:spacing w:line="560" w:lineRule="exact"/>
              <w:rPr>
                <w:rFonts w:eastAsia="宋体"/>
                <w:color w:val="000000" w:themeColor="text1"/>
                <w:sz w:val="24"/>
                <w:szCs w:val="24"/>
              </w:rPr>
            </w:pPr>
            <w:r>
              <w:rPr>
                <w:rFonts w:eastAsia="宋体" w:hint="eastAsia"/>
                <w:color w:val="000000" w:themeColor="text1"/>
                <w:sz w:val="24"/>
                <w:szCs w:val="24"/>
              </w:rPr>
              <w:t>根据</w:t>
            </w:r>
            <w:r w:rsidRPr="000D4590">
              <w:rPr>
                <w:rFonts w:eastAsia="宋体" w:hint="eastAsia"/>
                <w:color w:val="000000" w:themeColor="text1"/>
                <w:sz w:val="24"/>
                <w:szCs w:val="24"/>
              </w:rPr>
              <w:t>中国投资信息有限公司《关于</w:t>
            </w:r>
            <w:r w:rsidRPr="000D4590">
              <w:rPr>
                <w:rFonts w:eastAsia="宋体" w:hint="eastAsia"/>
                <w:color w:val="000000" w:themeColor="text1"/>
                <w:sz w:val="24"/>
                <w:szCs w:val="24"/>
              </w:rPr>
              <w:t>2024</w:t>
            </w:r>
            <w:r w:rsidRPr="000D4590">
              <w:rPr>
                <w:rFonts w:eastAsia="宋体" w:hint="eastAsia"/>
                <w:color w:val="000000" w:themeColor="text1"/>
                <w:sz w:val="24"/>
                <w:szCs w:val="24"/>
              </w:rPr>
              <w:t>年岁末及</w:t>
            </w:r>
            <w:r w:rsidRPr="000D4590">
              <w:rPr>
                <w:rFonts w:eastAsia="宋体" w:hint="eastAsia"/>
                <w:color w:val="000000" w:themeColor="text1"/>
                <w:sz w:val="24"/>
                <w:szCs w:val="24"/>
              </w:rPr>
              <w:t>2025</w:t>
            </w:r>
            <w:r w:rsidRPr="000D4590">
              <w:rPr>
                <w:rFonts w:eastAsia="宋体" w:hint="eastAsia"/>
                <w:color w:val="000000" w:themeColor="text1"/>
                <w:sz w:val="24"/>
                <w:szCs w:val="24"/>
              </w:rPr>
              <w:t>年沪港通下港股通交易日安排的通知》等通知安排，保护基金份额持有人的利益，保障基金平稳运作</w:t>
            </w:r>
            <w:r>
              <w:rPr>
                <w:rFonts w:eastAsia="宋体" w:hint="eastAsia"/>
                <w:color w:val="000000" w:themeColor="text1"/>
                <w:sz w:val="24"/>
                <w:szCs w:val="24"/>
              </w:rPr>
              <w:t>。</w:t>
            </w:r>
          </w:p>
        </w:tc>
      </w:tr>
      <w:tr w:rsidR="00337CBA">
        <w:trPr>
          <w:jc w:val="center"/>
        </w:trPr>
        <w:tc>
          <w:tcPr>
            <w:tcW w:w="3053" w:type="dxa"/>
            <w:vAlign w:val="center"/>
          </w:tcPr>
          <w:p w:rsidR="00337CBA" w:rsidRDefault="004C380D">
            <w:pPr>
              <w:jc w:val="left"/>
              <w:rPr>
                <w:rFonts w:eastAsia="宋体"/>
                <w:color w:val="000000" w:themeColor="text1"/>
              </w:rPr>
            </w:pPr>
            <w:r>
              <w:rPr>
                <w:rFonts w:eastAsiaTheme="minorEastAsia"/>
                <w:color w:val="000000"/>
                <w:sz w:val="24"/>
                <w:szCs w:val="24"/>
              </w:rPr>
              <w:t>下属分级基金的基金简称</w:t>
            </w:r>
          </w:p>
        </w:tc>
        <w:tc>
          <w:tcPr>
            <w:tcW w:w="2894" w:type="dxa"/>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r>
              <w:rPr>
                <w:rFonts w:eastAsia="宋体" w:hint="eastAsia"/>
                <w:color w:val="000000" w:themeColor="text1"/>
                <w:sz w:val="24"/>
                <w:szCs w:val="24"/>
              </w:rPr>
              <w:t>A</w:t>
            </w:r>
          </w:p>
        </w:tc>
        <w:tc>
          <w:tcPr>
            <w:tcW w:w="3792" w:type="dxa"/>
          </w:tcPr>
          <w:p w:rsidR="00337CBA" w:rsidRDefault="004C380D">
            <w:pPr>
              <w:spacing w:line="560" w:lineRule="exact"/>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r>
              <w:rPr>
                <w:rFonts w:eastAsia="宋体" w:hint="eastAsia"/>
                <w:color w:val="000000" w:themeColor="text1"/>
                <w:sz w:val="24"/>
                <w:szCs w:val="24"/>
              </w:rPr>
              <w:t>C</w:t>
            </w:r>
          </w:p>
        </w:tc>
      </w:tr>
      <w:tr w:rsidR="00337CBA">
        <w:trPr>
          <w:jc w:val="center"/>
        </w:trPr>
        <w:tc>
          <w:tcPr>
            <w:tcW w:w="3053" w:type="dxa"/>
            <w:vAlign w:val="center"/>
          </w:tcPr>
          <w:p w:rsidR="00337CBA" w:rsidRDefault="004C380D">
            <w:pPr>
              <w:jc w:val="left"/>
              <w:rPr>
                <w:rFonts w:eastAsia="宋体"/>
                <w:color w:val="000000" w:themeColor="text1"/>
              </w:rPr>
            </w:pPr>
            <w:r>
              <w:rPr>
                <w:rFonts w:eastAsiaTheme="minorEastAsia"/>
                <w:color w:val="000000"/>
                <w:sz w:val="24"/>
                <w:szCs w:val="24"/>
              </w:rPr>
              <w:lastRenderedPageBreak/>
              <w:t>下属分级基金的交易代码</w:t>
            </w:r>
          </w:p>
        </w:tc>
        <w:tc>
          <w:tcPr>
            <w:tcW w:w="2894" w:type="dxa"/>
          </w:tcPr>
          <w:p w:rsidR="00337CBA" w:rsidRDefault="004C380D">
            <w:pPr>
              <w:spacing w:line="560" w:lineRule="exact"/>
              <w:rPr>
                <w:rFonts w:eastAsia="宋体"/>
                <w:color w:val="000000" w:themeColor="text1"/>
                <w:sz w:val="24"/>
                <w:szCs w:val="24"/>
              </w:rPr>
            </w:pPr>
            <w:r>
              <w:rPr>
                <w:rFonts w:eastAsia="宋体" w:hint="eastAsia"/>
                <w:color w:val="000000" w:themeColor="text1"/>
                <w:sz w:val="24"/>
                <w:szCs w:val="24"/>
              </w:rPr>
              <w:t>021464</w:t>
            </w:r>
          </w:p>
        </w:tc>
        <w:tc>
          <w:tcPr>
            <w:tcW w:w="3792" w:type="dxa"/>
          </w:tcPr>
          <w:p w:rsidR="00337CBA" w:rsidRDefault="004C380D">
            <w:pPr>
              <w:spacing w:line="560" w:lineRule="exact"/>
              <w:rPr>
                <w:rFonts w:eastAsia="宋体"/>
                <w:color w:val="000000" w:themeColor="text1"/>
                <w:sz w:val="24"/>
                <w:szCs w:val="24"/>
              </w:rPr>
            </w:pPr>
            <w:r>
              <w:rPr>
                <w:rFonts w:eastAsia="宋体" w:hint="eastAsia"/>
                <w:color w:val="000000" w:themeColor="text1"/>
                <w:sz w:val="24"/>
                <w:szCs w:val="24"/>
              </w:rPr>
              <w:t>021465</w:t>
            </w:r>
          </w:p>
        </w:tc>
      </w:tr>
      <w:tr w:rsidR="00337CBA">
        <w:trPr>
          <w:jc w:val="center"/>
        </w:trPr>
        <w:tc>
          <w:tcPr>
            <w:tcW w:w="3053" w:type="dxa"/>
          </w:tcPr>
          <w:p w:rsidR="00337CBA" w:rsidRDefault="004C380D">
            <w:pPr>
              <w:rPr>
                <w:rFonts w:eastAsia="宋体"/>
                <w:color w:val="000000" w:themeColor="text1"/>
              </w:rPr>
            </w:pPr>
            <w:r>
              <w:rPr>
                <w:rFonts w:eastAsiaTheme="minorEastAsia"/>
                <w:color w:val="000000"/>
                <w:sz w:val="24"/>
                <w:szCs w:val="24"/>
              </w:rPr>
              <w:t>该分级基金是否</w:t>
            </w:r>
            <w:r>
              <w:rPr>
                <w:rFonts w:eastAsia="宋体"/>
                <w:color w:val="000000" w:themeColor="text1"/>
                <w:sz w:val="24"/>
                <w:szCs w:val="24"/>
              </w:rPr>
              <w:t>暂停申购（含日常申购和定期定额投资业务）、赎回、转换业务</w:t>
            </w:r>
          </w:p>
        </w:tc>
        <w:tc>
          <w:tcPr>
            <w:tcW w:w="2894" w:type="dxa"/>
          </w:tcPr>
          <w:p w:rsidR="00337CBA" w:rsidRDefault="004C380D">
            <w:pPr>
              <w:spacing w:line="560" w:lineRule="exact"/>
              <w:rPr>
                <w:rFonts w:eastAsia="宋体"/>
                <w:color w:val="000000" w:themeColor="text1"/>
                <w:sz w:val="24"/>
                <w:szCs w:val="24"/>
              </w:rPr>
            </w:pPr>
            <w:r>
              <w:rPr>
                <w:rFonts w:eastAsia="宋体" w:hint="eastAsia"/>
                <w:color w:val="000000" w:themeColor="text1"/>
                <w:sz w:val="24"/>
                <w:szCs w:val="24"/>
              </w:rPr>
              <w:t>是</w:t>
            </w:r>
          </w:p>
        </w:tc>
        <w:tc>
          <w:tcPr>
            <w:tcW w:w="3792" w:type="dxa"/>
          </w:tcPr>
          <w:p w:rsidR="00337CBA" w:rsidRDefault="004C380D">
            <w:pPr>
              <w:spacing w:line="560" w:lineRule="exact"/>
              <w:rPr>
                <w:rFonts w:eastAsia="宋体"/>
                <w:color w:val="000000" w:themeColor="text1"/>
                <w:sz w:val="24"/>
                <w:szCs w:val="24"/>
              </w:rPr>
            </w:pPr>
            <w:r>
              <w:rPr>
                <w:rFonts w:eastAsia="宋体" w:hint="eastAsia"/>
                <w:color w:val="000000" w:themeColor="text1"/>
                <w:sz w:val="24"/>
                <w:szCs w:val="24"/>
              </w:rPr>
              <w:t>是</w:t>
            </w:r>
          </w:p>
        </w:tc>
      </w:tr>
    </w:tbl>
    <w:p w:rsidR="00337CBA" w:rsidRDefault="004C380D">
      <w:pPr>
        <w:spacing w:line="560" w:lineRule="exact"/>
        <w:rPr>
          <w:rFonts w:eastAsia="宋体"/>
          <w:color w:val="000000" w:themeColor="text1"/>
          <w:sz w:val="24"/>
          <w:szCs w:val="24"/>
        </w:rPr>
      </w:pPr>
      <w:r>
        <w:rPr>
          <w:rFonts w:eastAsia="宋体"/>
          <w:color w:val="000000" w:themeColor="text1"/>
          <w:sz w:val="24"/>
          <w:szCs w:val="24"/>
        </w:rPr>
        <w:t>注：本公司决定于</w:t>
      </w: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31</w:t>
      </w:r>
      <w:r>
        <w:rPr>
          <w:rFonts w:eastAsia="宋体"/>
          <w:color w:val="000000" w:themeColor="text1"/>
          <w:sz w:val="24"/>
          <w:szCs w:val="24"/>
        </w:rPr>
        <w:t>日</w:t>
      </w:r>
      <w:r>
        <w:rPr>
          <w:rFonts w:eastAsia="宋体" w:hint="eastAsia"/>
          <w:color w:val="000000" w:themeColor="text1"/>
          <w:sz w:val="24"/>
          <w:szCs w:val="24"/>
        </w:rPr>
        <w:t>（星期三）</w:t>
      </w:r>
      <w:r>
        <w:rPr>
          <w:rFonts w:eastAsia="宋体"/>
          <w:color w:val="000000" w:themeColor="text1"/>
          <w:sz w:val="24"/>
          <w:szCs w:val="24"/>
        </w:rPr>
        <w:t>暂停海富通中证港股通科技</w:t>
      </w:r>
      <w:r>
        <w:rPr>
          <w:rFonts w:eastAsia="宋体"/>
          <w:color w:val="000000" w:themeColor="text1"/>
          <w:sz w:val="24"/>
          <w:szCs w:val="24"/>
        </w:rPr>
        <w:t>ETF</w:t>
      </w:r>
      <w:r>
        <w:rPr>
          <w:rFonts w:eastAsia="宋体"/>
          <w:color w:val="000000" w:themeColor="text1"/>
          <w:sz w:val="24"/>
          <w:szCs w:val="24"/>
        </w:rPr>
        <w:t>发起联接基金的申购（含日常申购和定期定额投资业务）、赎回和转换业务。</w:t>
      </w:r>
      <w:r w:rsidR="00361CE0" w:rsidRPr="00361CE0">
        <w:rPr>
          <w:rFonts w:eastAsia="宋体"/>
          <w:color w:val="000000" w:themeColor="text1"/>
          <w:sz w:val="24"/>
          <w:szCs w:val="24"/>
        </w:rPr>
        <w:t>2026</w:t>
      </w:r>
      <w:r w:rsidR="00361CE0" w:rsidRPr="00361CE0">
        <w:rPr>
          <w:rFonts w:eastAsia="宋体" w:hint="eastAsia"/>
          <w:color w:val="000000" w:themeColor="text1"/>
          <w:sz w:val="24"/>
          <w:szCs w:val="24"/>
        </w:rPr>
        <w:t>年</w:t>
      </w:r>
      <w:r w:rsidR="00361CE0" w:rsidRPr="00361CE0">
        <w:rPr>
          <w:rFonts w:eastAsia="宋体"/>
          <w:color w:val="000000" w:themeColor="text1"/>
          <w:sz w:val="24"/>
          <w:szCs w:val="24"/>
        </w:rPr>
        <w:t>1</w:t>
      </w:r>
      <w:r w:rsidR="00361CE0" w:rsidRPr="00361CE0">
        <w:rPr>
          <w:rFonts w:eastAsia="宋体" w:hint="eastAsia"/>
          <w:color w:val="000000" w:themeColor="text1"/>
          <w:sz w:val="24"/>
          <w:szCs w:val="24"/>
        </w:rPr>
        <w:t>月</w:t>
      </w:r>
      <w:r w:rsidR="00361CE0" w:rsidRPr="00361CE0">
        <w:rPr>
          <w:rFonts w:eastAsia="宋体"/>
          <w:color w:val="000000" w:themeColor="text1"/>
          <w:sz w:val="24"/>
          <w:szCs w:val="24"/>
        </w:rPr>
        <w:t>1</w:t>
      </w:r>
      <w:r w:rsidR="00361CE0" w:rsidRPr="00361CE0">
        <w:rPr>
          <w:rFonts w:eastAsia="宋体" w:hint="eastAsia"/>
          <w:color w:val="000000" w:themeColor="text1"/>
          <w:sz w:val="24"/>
          <w:szCs w:val="24"/>
        </w:rPr>
        <w:t>日（星期四）至</w:t>
      </w:r>
      <w:r w:rsidR="00361CE0" w:rsidRPr="00361CE0">
        <w:rPr>
          <w:rFonts w:eastAsia="宋体"/>
          <w:color w:val="000000" w:themeColor="text1"/>
          <w:sz w:val="24"/>
          <w:szCs w:val="24"/>
        </w:rPr>
        <w:t>1</w:t>
      </w:r>
      <w:r w:rsidR="00361CE0" w:rsidRPr="00361CE0">
        <w:rPr>
          <w:rFonts w:eastAsia="宋体" w:hint="eastAsia"/>
          <w:color w:val="000000" w:themeColor="text1"/>
          <w:sz w:val="24"/>
          <w:szCs w:val="24"/>
        </w:rPr>
        <w:t>月</w:t>
      </w:r>
      <w:r w:rsidR="00361CE0" w:rsidRPr="00361CE0">
        <w:rPr>
          <w:rFonts w:eastAsia="宋体"/>
          <w:color w:val="000000" w:themeColor="text1"/>
          <w:sz w:val="24"/>
          <w:szCs w:val="24"/>
        </w:rPr>
        <w:t>3</w:t>
      </w:r>
      <w:r w:rsidR="00361CE0" w:rsidRPr="00361CE0">
        <w:rPr>
          <w:rFonts w:eastAsia="宋体" w:hint="eastAsia"/>
          <w:color w:val="000000" w:themeColor="text1"/>
          <w:sz w:val="24"/>
          <w:szCs w:val="24"/>
        </w:rPr>
        <w:t>日（星期六）为元旦节假日休市，</w:t>
      </w:r>
      <w:r w:rsidR="00361CE0" w:rsidRPr="00361CE0">
        <w:rPr>
          <w:rFonts w:eastAsia="宋体"/>
          <w:color w:val="000000" w:themeColor="text1"/>
          <w:sz w:val="24"/>
          <w:szCs w:val="24"/>
        </w:rPr>
        <w:t>1</w:t>
      </w:r>
      <w:r w:rsidR="00361CE0" w:rsidRPr="00361CE0">
        <w:rPr>
          <w:rFonts w:eastAsia="宋体" w:hint="eastAsia"/>
          <w:color w:val="000000" w:themeColor="text1"/>
          <w:sz w:val="24"/>
          <w:szCs w:val="24"/>
        </w:rPr>
        <w:t>月</w:t>
      </w:r>
      <w:r w:rsidR="00361CE0" w:rsidRPr="00361CE0">
        <w:rPr>
          <w:rFonts w:eastAsia="宋体"/>
          <w:color w:val="000000" w:themeColor="text1"/>
          <w:sz w:val="24"/>
          <w:szCs w:val="24"/>
        </w:rPr>
        <w:t>4</w:t>
      </w:r>
      <w:r w:rsidR="00361CE0" w:rsidRPr="00361CE0">
        <w:rPr>
          <w:rFonts w:eastAsia="宋体" w:hint="eastAsia"/>
          <w:color w:val="000000" w:themeColor="text1"/>
          <w:sz w:val="24"/>
          <w:szCs w:val="24"/>
        </w:rPr>
        <w:t>日（星期日）为周末休市。</w:t>
      </w:r>
    </w:p>
    <w:p w:rsidR="00337CBA" w:rsidRDefault="00337CBA">
      <w:pPr>
        <w:spacing w:line="560" w:lineRule="exact"/>
        <w:rPr>
          <w:rFonts w:eastAsia="宋体"/>
          <w:color w:val="000000" w:themeColor="text1"/>
          <w:sz w:val="24"/>
          <w:szCs w:val="24"/>
        </w:rPr>
      </w:pPr>
    </w:p>
    <w:p w:rsidR="00337CBA" w:rsidRDefault="004C380D">
      <w:pPr>
        <w:pStyle w:val="2"/>
        <w:spacing w:line="560" w:lineRule="exact"/>
        <w:rPr>
          <w:rFonts w:ascii="Times New Roman" w:eastAsia="宋体" w:hAnsi="Times New Roman"/>
          <w:bCs w:val="0"/>
          <w:color w:val="000000" w:themeColor="text1"/>
          <w:sz w:val="24"/>
          <w:szCs w:val="24"/>
        </w:rPr>
      </w:pPr>
      <w:bookmarkStart w:id="1" w:name="_Toc275961406"/>
      <w:r>
        <w:rPr>
          <w:rFonts w:ascii="Times New Roman" w:eastAsia="宋体" w:hAnsi="Times New Roman"/>
          <w:bCs w:val="0"/>
          <w:color w:val="000000" w:themeColor="text1"/>
          <w:sz w:val="24"/>
          <w:szCs w:val="24"/>
        </w:rPr>
        <w:t>2</w:t>
      </w:r>
      <w:r>
        <w:rPr>
          <w:rFonts w:ascii="Times New Roman" w:eastAsia="宋体" w:hAnsi="Times New Roman"/>
          <w:bCs w:val="0"/>
          <w:color w:val="000000" w:themeColor="text1"/>
          <w:sz w:val="24"/>
          <w:szCs w:val="24"/>
        </w:rPr>
        <w:t>其他需要提示的事项</w:t>
      </w:r>
      <w:bookmarkEnd w:id="1"/>
    </w:p>
    <w:p w:rsidR="00337CBA" w:rsidRDefault="004C380D">
      <w:pPr>
        <w:spacing w:line="360" w:lineRule="auto"/>
        <w:ind w:firstLineChars="200" w:firstLine="480"/>
        <w:rPr>
          <w:rFonts w:eastAsia="宋体"/>
          <w:color w:val="000000" w:themeColor="text1"/>
          <w:sz w:val="24"/>
          <w:szCs w:val="24"/>
        </w:rPr>
      </w:pPr>
      <w:r>
        <w:rPr>
          <w:rFonts w:eastAsia="宋体"/>
          <w:color w:val="000000" w:themeColor="text1"/>
          <w:sz w:val="24"/>
          <w:szCs w:val="24"/>
        </w:rPr>
        <w:t>1</w:t>
      </w:r>
      <w:r>
        <w:rPr>
          <w:rFonts w:eastAsia="宋体"/>
          <w:color w:val="000000" w:themeColor="text1"/>
          <w:sz w:val="24"/>
          <w:szCs w:val="24"/>
        </w:rPr>
        <w:t>）本公司将于</w:t>
      </w: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1</w:t>
      </w:r>
      <w:r>
        <w:rPr>
          <w:rFonts w:eastAsia="宋体"/>
          <w:color w:val="000000" w:themeColor="text1"/>
          <w:sz w:val="24"/>
          <w:szCs w:val="24"/>
        </w:rPr>
        <w:t>月</w:t>
      </w:r>
      <w:r>
        <w:rPr>
          <w:rFonts w:eastAsia="宋体" w:hint="eastAsia"/>
          <w:color w:val="000000" w:themeColor="text1"/>
          <w:sz w:val="24"/>
          <w:szCs w:val="24"/>
        </w:rPr>
        <w:t>5</w:t>
      </w:r>
      <w:r>
        <w:rPr>
          <w:rFonts w:eastAsia="宋体"/>
          <w:color w:val="000000" w:themeColor="text1"/>
          <w:sz w:val="24"/>
          <w:szCs w:val="24"/>
        </w:rPr>
        <w:t>日（星期</w:t>
      </w:r>
      <w:r>
        <w:rPr>
          <w:rFonts w:eastAsia="宋体" w:hint="eastAsia"/>
          <w:color w:val="000000" w:themeColor="text1"/>
          <w:sz w:val="24"/>
          <w:szCs w:val="24"/>
        </w:rPr>
        <w:t>一</w:t>
      </w:r>
      <w:r>
        <w:rPr>
          <w:rFonts w:eastAsia="宋体"/>
          <w:color w:val="000000" w:themeColor="text1"/>
          <w:sz w:val="24"/>
          <w:szCs w:val="24"/>
        </w:rPr>
        <w:t>）起恢复办理本基金的正常申购（含日常申购和定期定额投资业务）、赎回和转换业务，届时将不再另行公告。</w:t>
      </w:r>
    </w:p>
    <w:p w:rsidR="00337CBA" w:rsidRDefault="004C380D">
      <w:pPr>
        <w:spacing w:line="360" w:lineRule="auto"/>
        <w:ind w:firstLineChars="200" w:firstLine="480"/>
        <w:rPr>
          <w:rFonts w:eastAsia="宋体"/>
          <w:color w:val="000000" w:themeColor="text1"/>
          <w:sz w:val="24"/>
          <w:szCs w:val="24"/>
        </w:rPr>
      </w:pPr>
      <w:r>
        <w:rPr>
          <w:rFonts w:eastAsia="宋体"/>
          <w:color w:val="000000" w:themeColor="text1"/>
          <w:sz w:val="24"/>
          <w:szCs w:val="24"/>
        </w:rPr>
        <w:t>2</w:t>
      </w:r>
      <w:r>
        <w:rPr>
          <w:rFonts w:eastAsia="宋体"/>
          <w:color w:val="000000" w:themeColor="text1"/>
          <w:sz w:val="24"/>
          <w:szCs w:val="24"/>
        </w:rPr>
        <w:t>）如有疑问，请拨打本公司全国统一客户服务号码：</w:t>
      </w:r>
      <w:r>
        <w:rPr>
          <w:rFonts w:eastAsia="宋体"/>
          <w:color w:val="000000" w:themeColor="text1"/>
          <w:sz w:val="24"/>
          <w:szCs w:val="24"/>
        </w:rPr>
        <w:t>40088-40099</w:t>
      </w:r>
      <w:r>
        <w:rPr>
          <w:rFonts w:eastAsia="宋体"/>
          <w:color w:val="000000" w:themeColor="text1"/>
          <w:sz w:val="24"/>
          <w:szCs w:val="24"/>
        </w:rPr>
        <w:t>（免长途话费）或登陆本公司网站</w:t>
      </w:r>
      <w:r>
        <w:rPr>
          <w:rFonts w:eastAsia="宋体"/>
          <w:color w:val="000000" w:themeColor="text1"/>
          <w:sz w:val="24"/>
          <w:szCs w:val="24"/>
        </w:rPr>
        <w:t>www.hftfund.com</w:t>
      </w:r>
      <w:r>
        <w:rPr>
          <w:rFonts w:eastAsia="宋体"/>
          <w:color w:val="000000" w:themeColor="text1"/>
          <w:sz w:val="24"/>
          <w:szCs w:val="24"/>
        </w:rPr>
        <w:t>获取相关信息。</w:t>
      </w:r>
    </w:p>
    <w:p w:rsidR="00337CBA" w:rsidRDefault="00337CBA">
      <w:pPr>
        <w:spacing w:line="360" w:lineRule="auto"/>
        <w:ind w:firstLineChars="200" w:firstLine="480"/>
        <w:rPr>
          <w:rFonts w:eastAsia="宋体"/>
          <w:color w:val="000000" w:themeColor="text1"/>
          <w:sz w:val="24"/>
          <w:szCs w:val="24"/>
        </w:rPr>
      </w:pPr>
    </w:p>
    <w:p w:rsidR="00337CBA" w:rsidRDefault="004C380D">
      <w:pPr>
        <w:spacing w:line="360" w:lineRule="auto"/>
        <w:ind w:firstLineChars="200" w:firstLine="480"/>
        <w:rPr>
          <w:rFonts w:eastAsia="宋体"/>
          <w:color w:val="000000" w:themeColor="text1"/>
          <w:sz w:val="24"/>
          <w:szCs w:val="24"/>
        </w:rPr>
      </w:pPr>
      <w:r>
        <w:rPr>
          <w:rFonts w:eastAsia="宋体"/>
          <w:color w:val="000000" w:themeColor="text1"/>
          <w:sz w:val="24"/>
          <w:szCs w:val="24"/>
        </w:rPr>
        <w:t>特此公告。</w:t>
      </w:r>
    </w:p>
    <w:p w:rsidR="00337CBA" w:rsidRDefault="00337CBA">
      <w:pPr>
        <w:rPr>
          <w:rFonts w:eastAsia="宋体"/>
          <w:color w:val="000000" w:themeColor="text1"/>
          <w:sz w:val="24"/>
          <w:szCs w:val="24"/>
        </w:rPr>
      </w:pPr>
    </w:p>
    <w:p w:rsidR="00337CBA" w:rsidRDefault="00337CBA">
      <w:pPr>
        <w:rPr>
          <w:rFonts w:eastAsia="宋体"/>
          <w:color w:val="000000" w:themeColor="text1"/>
          <w:sz w:val="24"/>
          <w:szCs w:val="24"/>
        </w:rPr>
      </w:pPr>
    </w:p>
    <w:p w:rsidR="00337CBA" w:rsidRDefault="00337CBA">
      <w:pPr>
        <w:rPr>
          <w:rFonts w:eastAsia="宋体"/>
          <w:color w:val="000000" w:themeColor="text1"/>
          <w:sz w:val="24"/>
          <w:szCs w:val="24"/>
        </w:rPr>
      </w:pPr>
    </w:p>
    <w:p w:rsidR="00337CBA" w:rsidRDefault="00337CBA">
      <w:pPr>
        <w:rPr>
          <w:rFonts w:eastAsia="宋体"/>
          <w:color w:val="000000" w:themeColor="text1"/>
          <w:sz w:val="24"/>
          <w:szCs w:val="24"/>
        </w:rPr>
      </w:pPr>
    </w:p>
    <w:p w:rsidR="00337CBA" w:rsidRDefault="004C380D">
      <w:pPr>
        <w:tabs>
          <w:tab w:val="left" w:pos="426"/>
        </w:tabs>
        <w:spacing w:before="29" w:line="288" w:lineRule="auto"/>
        <w:ind w:firstLineChars="200" w:firstLine="480"/>
        <w:jc w:val="right"/>
        <w:rPr>
          <w:rFonts w:eastAsia="宋体"/>
          <w:color w:val="000000" w:themeColor="text1"/>
          <w:kern w:val="0"/>
          <w:sz w:val="24"/>
        </w:rPr>
      </w:pPr>
      <w:r>
        <w:rPr>
          <w:rFonts w:eastAsia="宋体"/>
          <w:color w:val="000000" w:themeColor="text1"/>
          <w:kern w:val="0"/>
          <w:sz w:val="24"/>
        </w:rPr>
        <w:t>海富通基金管理有限公司</w:t>
      </w:r>
    </w:p>
    <w:p w:rsidR="00337CBA" w:rsidRDefault="004C380D">
      <w:pPr>
        <w:tabs>
          <w:tab w:val="left" w:pos="426"/>
        </w:tabs>
        <w:spacing w:before="29" w:line="288" w:lineRule="auto"/>
        <w:ind w:firstLineChars="200" w:firstLine="480"/>
        <w:jc w:val="right"/>
        <w:rPr>
          <w:rFonts w:eastAsia="宋体"/>
          <w:color w:val="000000" w:themeColor="text1"/>
          <w:sz w:val="24"/>
          <w:szCs w:val="24"/>
        </w:rPr>
      </w:pPr>
      <w:r>
        <w:rPr>
          <w:rFonts w:eastAsia="宋体"/>
          <w:bCs/>
          <w:color w:val="000000" w:themeColor="text1"/>
          <w:sz w:val="24"/>
          <w:szCs w:val="24"/>
        </w:rPr>
        <w:t>202</w:t>
      </w:r>
      <w:r>
        <w:rPr>
          <w:rFonts w:eastAsia="宋体" w:hint="eastAsia"/>
          <w:bCs/>
          <w:color w:val="000000" w:themeColor="text1"/>
          <w:sz w:val="24"/>
          <w:szCs w:val="24"/>
        </w:rPr>
        <w:t>5</w:t>
      </w:r>
      <w:r>
        <w:rPr>
          <w:rFonts w:eastAsia="宋体"/>
          <w:bCs/>
          <w:color w:val="000000" w:themeColor="text1"/>
          <w:sz w:val="24"/>
          <w:szCs w:val="24"/>
        </w:rPr>
        <w:t>年</w:t>
      </w:r>
      <w:r>
        <w:rPr>
          <w:rFonts w:eastAsia="宋体" w:hint="eastAsia"/>
          <w:bCs/>
          <w:color w:val="000000" w:themeColor="text1"/>
          <w:sz w:val="24"/>
          <w:szCs w:val="24"/>
        </w:rPr>
        <w:t>12</w:t>
      </w:r>
      <w:r>
        <w:rPr>
          <w:rFonts w:eastAsia="宋体"/>
          <w:bCs/>
          <w:color w:val="000000" w:themeColor="text1"/>
          <w:sz w:val="24"/>
          <w:szCs w:val="24"/>
        </w:rPr>
        <w:t>月</w:t>
      </w:r>
      <w:r>
        <w:rPr>
          <w:rFonts w:eastAsia="宋体" w:hint="eastAsia"/>
          <w:bCs/>
          <w:color w:val="000000" w:themeColor="text1"/>
          <w:sz w:val="24"/>
          <w:szCs w:val="24"/>
        </w:rPr>
        <w:t>2</w:t>
      </w:r>
      <w:r w:rsidR="002C6A71">
        <w:rPr>
          <w:rFonts w:eastAsia="宋体" w:hint="eastAsia"/>
          <w:bCs/>
          <w:color w:val="000000" w:themeColor="text1"/>
          <w:sz w:val="24"/>
          <w:szCs w:val="24"/>
        </w:rPr>
        <w:t>6</w:t>
      </w:r>
      <w:r>
        <w:rPr>
          <w:rFonts w:eastAsia="宋体"/>
          <w:bCs/>
          <w:color w:val="000000" w:themeColor="text1"/>
          <w:sz w:val="24"/>
          <w:szCs w:val="24"/>
        </w:rPr>
        <w:t>日</w:t>
      </w:r>
    </w:p>
    <w:sectPr w:rsidR="00337CBA" w:rsidSect="007D43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5D4C"/>
    <w:rsid w:val="0003596D"/>
    <w:rsid w:val="00041353"/>
    <w:rsid w:val="00055990"/>
    <w:rsid w:val="0006163C"/>
    <w:rsid w:val="00063563"/>
    <w:rsid w:val="00070F0F"/>
    <w:rsid w:val="000726EC"/>
    <w:rsid w:val="0008039A"/>
    <w:rsid w:val="00095336"/>
    <w:rsid w:val="000A0EE0"/>
    <w:rsid w:val="000A472E"/>
    <w:rsid w:val="000C6EEC"/>
    <w:rsid w:val="000D472C"/>
    <w:rsid w:val="000E4CBF"/>
    <w:rsid w:val="000F55E1"/>
    <w:rsid w:val="0013025A"/>
    <w:rsid w:val="00134D67"/>
    <w:rsid w:val="00136D76"/>
    <w:rsid w:val="00137CBF"/>
    <w:rsid w:val="00152A26"/>
    <w:rsid w:val="00160DAE"/>
    <w:rsid w:val="00165CE4"/>
    <w:rsid w:val="00180DA3"/>
    <w:rsid w:val="00196F58"/>
    <w:rsid w:val="001A01DA"/>
    <w:rsid w:val="001A6C1F"/>
    <w:rsid w:val="001B4A5B"/>
    <w:rsid w:val="001B4F9F"/>
    <w:rsid w:val="001B699D"/>
    <w:rsid w:val="001D3B58"/>
    <w:rsid w:val="001D6720"/>
    <w:rsid w:val="001F1F2A"/>
    <w:rsid w:val="00203483"/>
    <w:rsid w:val="002204CA"/>
    <w:rsid w:val="002209E6"/>
    <w:rsid w:val="002241A8"/>
    <w:rsid w:val="002274BE"/>
    <w:rsid w:val="00245724"/>
    <w:rsid w:val="0025590C"/>
    <w:rsid w:val="00257F0D"/>
    <w:rsid w:val="00275766"/>
    <w:rsid w:val="00285347"/>
    <w:rsid w:val="0028655F"/>
    <w:rsid w:val="002935EF"/>
    <w:rsid w:val="00297148"/>
    <w:rsid w:val="002A310E"/>
    <w:rsid w:val="002A6277"/>
    <w:rsid w:val="002B3273"/>
    <w:rsid w:val="002B5A94"/>
    <w:rsid w:val="002C2F4F"/>
    <w:rsid w:val="002C6A71"/>
    <w:rsid w:val="002D2FEE"/>
    <w:rsid w:val="002D3CAF"/>
    <w:rsid w:val="002F4340"/>
    <w:rsid w:val="002F7241"/>
    <w:rsid w:val="00305057"/>
    <w:rsid w:val="0031690B"/>
    <w:rsid w:val="00322832"/>
    <w:rsid w:val="00327DA7"/>
    <w:rsid w:val="00330707"/>
    <w:rsid w:val="0033476C"/>
    <w:rsid w:val="00337CBA"/>
    <w:rsid w:val="00361CE0"/>
    <w:rsid w:val="00365CA2"/>
    <w:rsid w:val="0036784E"/>
    <w:rsid w:val="00373917"/>
    <w:rsid w:val="00375CF3"/>
    <w:rsid w:val="00382BDF"/>
    <w:rsid w:val="003848F4"/>
    <w:rsid w:val="00390631"/>
    <w:rsid w:val="003A691B"/>
    <w:rsid w:val="003B1069"/>
    <w:rsid w:val="003B2DF6"/>
    <w:rsid w:val="003D0DCF"/>
    <w:rsid w:val="003D3818"/>
    <w:rsid w:val="003F6CC8"/>
    <w:rsid w:val="0040251E"/>
    <w:rsid w:val="0040612B"/>
    <w:rsid w:val="00442573"/>
    <w:rsid w:val="00464E3D"/>
    <w:rsid w:val="00466E3A"/>
    <w:rsid w:val="004832AD"/>
    <w:rsid w:val="004966BA"/>
    <w:rsid w:val="004B1D96"/>
    <w:rsid w:val="004C380D"/>
    <w:rsid w:val="004D24F0"/>
    <w:rsid w:val="004D279E"/>
    <w:rsid w:val="004D3B49"/>
    <w:rsid w:val="004D6346"/>
    <w:rsid w:val="004D6B68"/>
    <w:rsid w:val="004E6E0A"/>
    <w:rsid w:val="004F0521"/>
    <w:rsid w:val="004F5039"/>
    <w:rsid w:val="004F51E8"/>
    <w:rsid w:val="00531BEC"/>
    <w:rsid w:val="00536E8E"/>
    <w:rsid w:val="005446B2"/>
    <w:rsid w:val="0055497B"/>
    <w:rsid w:val="0059644F"/>
    <w:rsid w:val="005D70C5"/>
    <w:rsid w:val="005F2DBE"/>
    <w:rsid w:val="005F379E"/>
    <w:rsid w:val="00603A93"/>
    <w:rsid w:val="00612295"/>
    <w:rsid w:val="00620AD3"/>
    <w:rsid w:val="006235F9"/>
    <w:rsid w:val="00633C51"/>
    <w:rsid w:val="00646522"/>
    <w:rsid w:val="00655B36"/>
    <w:rsid w:val="00661E6E"/>
    <w:rsid w:val="00663031"/>
    <w:rsid w:val="00667633"/>
    <w:rsid w:val="006744D5"/>
    <w:rsid w:val="006A0A5E"/>
    <w:rsid w:val="006A308A"/>
    <w:rsid w:val="006E25B9"/>
    <w:rsid w:val="00700A4E"/>
    <w:rsid w:val="007010EC"/>
    <w:rsid w:val="0070420C"/>
    <w:rsid w:val="007056E4"/>
    <w:rsid w:val="00726D48"/>
    <w:rsid w:val="00730964"/>
    <w:rsid w:val="0073228C"/>
    <w:rsid w:val="00753E39"/>
    <w:rsid w:val="00762FED"/>
    <w:rsid w:val="007663A4"/>
    <w:rsid w:val="00770DB7"/>
    <w:rsid w:val="007758BE"/>
    <w:rsid w:val="007A18DE"/>
    <w:rsid w:val="007B0250"/>
    <w:rsid w:val="007B1D31"/>
    <w:rsid w:val="007C1BF5"/>
    <w:rsid w:val="007D4334"/>
    <w:rsid w:val="0080212C"/>
    <w:rsid w:val="008058C7"/>
    <w:rsid w:val="00826ED1"/>
    <w:rsid w:val="008472DB"/>
    <w:rsid w:val="008712F5"/>
    <w:rsid w:val="008919E2"/>
    <w:rsid w:val="008A5DC3"/>
    <w:rsid w:val="008A7834"/>
    <w:rsid w:val="008C321E"/>
    <w:rsid w:val="008D6773"/>
    <w:rsid w:val="009009F8"/>
    <w:rsid w:val="00905B25"/>
    <w:rsid w:val="00920023"/>
    <w:rsid w:val="0093711D"/>
    <w:rsid w:val="00937B44"/>
    <w:rsid w:val="00956B0F"/>
    <w:rsid w:val="00961ECF"/>
    <w:rsid w:val="00963508"/>
    <w:rsid w:val="0098147A"/>
    <w:rsid w:val="009963D1"/>
    <w:rsid w:val="009A17B5"/>
    <w:rsid w:val="009A54E4"/>
    <w:rsid w:val="009B2F90"/>
    <w:rsid w:val="009C5858"/>
    <w:rsid w:val="009C76F3"/>
    <w:rsid w:val="009F3823"/>
    <w:rsid w:val="00A03DB8"/>
    <w:rsid w:val="00A04787"/>
    <w:rsid w:val="00A1669F"/>
    <w:rsid w:val="00A1760F"/>
    <w:rsid w:val="00A2638C"/>
    <w:rsid w:val="00A41FD8"/>
    <w:rsid w:val="00A428CE"/>
    <w:rsid w:val="00A536B5"/>
    <w:rsid w:val="00A5414E"/>
    <w:rsid w:val="00A635C8"/>
    <w:rsid w:val="00A64E9F"/>
    <w:rsid w:val="00A8775C"/>
    <w:rsid w:val="00AA22DC"/>
    <w:rsid w:val="00AC0E51"/>
    <w:rsid w:val="00AD7BDD"/>
    <w:rsid w:val="00AF024E"/>
    <w:rsid w:val="00B02D9B"/>
    <w:rsid w:val="00B03EB3"/>
    <w:rsid w:val="00B101F7"/>
    <w:rsid w:val="00B21E5C"/>
    <w:rsid w:val="00B53002"/>
    <w:rsid w:val="00B6560E"/>
    <w:rsid w:val="00B872E5"/>
    <w:rsid w:val="00B90A62"/>
    <w:rsid w:val="00B9590B"/>
    <w:rsid w:val="00BA4D15"/>
    <w:rsid w:val="00BA7649"/>
    <w:rsid w:val="00BD545A"/>
    <w:rsid w:val="00BD601B"/>
    <w:rsid w:val="00BE1A0F"/>
    <w:rsid w:val="00BF2428"/>
    <w:rsid w:val="00C17B42"/>
    <w:rsid w:val="00C63463"/>
    <w:rsid w:val="00C70EDA"/>
    <w:rsid w:val="00C729B7"/>
    <w:rsid w:val="00C770D6"/>
    <w:rsid w:val="00C91CBB"/>
    <w:rsid w:val="00CB0B26"/>
    <w:rsid w:val="00CD74DC"/>
    <w:rsid w:val="00CE365E"/>
    <w:rsid w:val="00CF0067"/>
    <w:rsid w:val="00D004F1"/>
    <w:rsid w:val="00D032C6"/>
    <w:rsid w:val="00D114B7"/>
    <w:rsid w:val="00D1480F"/>
    <w:rsid w:val="00D31785"/>
    <w:rsid w:val="00D327FA"/>
    <w:rsid w:val="00D36FD1"/>
    <w:rsid w:val="00D91DAB"/>
    <w:rsid w:val="00D92A5A"/>
    <w:rsid w:val="00D95A18"/>
    <w:rsid w:val="00DA638E"/>
    <w:rsid w:val="00DC3C29"/>
    <w:rsid w:val="00DD22A8"/>
    <w:rsid w:val="00DD4613"/>
    <w:rsid w:val="00DE724F"/>
    <w:rsid w:val="00E11C48"/>
    <w:rsid w:val="00E1674C"/>
    <w:rsid w:val="00E27736"/>
    <w:rsid w:val="00E714AE"/>
    <w:rsid w:val="00E72E7F"/>
    <w:rsid w:val="00E830A4"/>
    <w:rsid w:val="00EA644B"/>
    <w:rsid w:val="00EC2730"/>
    <w:rsid w:val="00EC516D"/>
    <w:rsid w:val="00ED22F5"/>
    <w:rsid w:val="00ED32DE"/>
    <w:rsid w:val="00ED3D31"/>
    <w:rsid w:val="00EE1823"/>
    <w:rsid w:val="00F15B17"/>
    <w:rsid w:val="00F30CDB"/>
    <w:rsid w:val="00F4614C"/>
    <w:rsid w:val="00F5034D"/>
    <w:rsid w:val="00F64447"/>
    <w:rsid w:val="00F705A0"/>
    <w:rsid w:val="00F80E51"/>
    <w:rsid w:val="00FA0DDE"/>
    <w:rsid w:val="00FA1BE1"/>
    <w:rsid w:val="00FA3DE0"/>
    <w:rsid w:val="00FB0893"/>
    <w:rsid w:val="00FB4C6F"/>
    <w:rsid w:val="00FB75F8"/>
    <w:rsid w:val="00FB7623"/>
    <w:rsid w:val="00FC0DCF"/>
    <w:rsid w:val="00FD6EF4"/>
    <w:rsid w:val="00FE20E5"/>
    <w:rsid w:val="00FF358E"/>
    <w:rsid w:val="5AF8269D"/>
    <w:rsid w:val="604F24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334"/>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7D4334"/>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7D4334"/>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D4334"/>
    <w:pPr>
      <w:jc w:val="left"/>
    </w:pPr>
  </w:style>
  <w:style w:type="paragraph" w:styleId="a4">
    <w:name w:val="Balloon Text"/>
    <w:basedOn w:val="a"/>
    <w:link w:val="Char0"/>
    <w:uiPriority w:val="99"/>
    <w:unhideWhenUsed/>
    <w:qFormat/>
    <w:rsid w:val="007D4334"/>
    <w:rPr>
      <w:sz w:val="18"/>
      <w:szCs w:val="18"/>
    </w:rPr>
  </w:style>
  <w:style w:type="paragraph" w:styleId="a5">
    <w:name w:val="footer"/>
    <w:basedOn w:val="a"/>
    <w:link w:val="Char1"/>
    <w:uiPriority w:val="99"/>
    <w:unhideWhenUsed/>
    <w:qFormat/>
    <w:rsid w:val="007D4334"/>
    <w:pPr>
      <w:tabs>
        <w:tab w:val="center" w:pos="4153"/>
        <w:tab w:val="right" w:pos="8306"/>
      </w:tabs>
      <w:snapToGrid w:val="0"/>
      <w:jc w:val="left"/>
    </w:pPr>
    <w:rPr>
      <w:sz w:val="18"/>
      <w:szCs w:val="18"/>
    </w:rPr>
  </w:style>
  <w:style w:type="paragraph" w:styleId="a6">
    <w:name w:val="header"/>
    <w:basedOn w:val="a"/>
    <w:link w:val="Char2"/>
    <w:uiPriority w:val="99"/>
    <w:unhideWhenUsed/>
    <w:rsid w:val="007D433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7D4334"/>
    <w:pPr>
      <w:snapToGrid w:val="0"/>
      <w:jc w:val="left"/>
    </w:pPr>
    <w:rPr>
      <w:rFonts w:eastAsia="宋体"/>
      <w:sz w:val="18"/>
    </w:rPr>
  </w:style>
  <w:style w:type="paragraph" w:styleId="a8">
    <w:name w:val="annotation subject"/>
    <w:basedOn w:val="a3"/>
    <w:next w:val="a3"/>
    <w:link w:val="Char4"/>
    <w:uiPriority w:val="99"/>
    <w:semiHidden/>
    <w:unhideWhenUsed/>
    <w:qFormat/>
    <w:rsid w:val="007D4334"/>
    <w:rPr>
      <w:b/>
      <w:bCs/>
    </w:rPr>
  </w:style>
  <w:style w:type="character" w:styleId="a9">
    <w:name w:val="annotation reference"/>
    <w:basedOn w:val="a0"/>
    <w:uiPriority w:val="99"/>
    <w:semiHidden/>
    <w:unhideWhenUsed/>
    <w:qFormat/>
    <w:rsid w:val="007D4334"/>
    <w:rPr>
      <w:sz w:val="21"/>
      <w:szCs w:val="21"/>
    </w:rPr>
  </w:style>
  <w:style w:type="character" w:styleId="aa">
    <w:name w:val="footnote reference"/>
    <w:basedOn w:val="a0"/>
    <w:qFormat/>
    <w:rsid w:val="007D4334"/>
    <w:rPr>
      <w:vertAlign w:val="superscript"/>
    </w:rPr>
  </w:style>
  <w:style w:type="character" w:customStyle="1" w:styleId="1Char">
    <w:name w:val="标题 1 Char"/>
    <w:basedOn w:val="a0"/>
    <w:link w:val="1"/>
    <w:qFormat/>
    <w:rsid w:val="007D4334"/>
    <w:rPr>
      <w:rFonts w:ascii="Times New Roman" w:eastAsia="宋体" w:hAnsi="Times New Roman" w:cs="Times New Roman"/>
      <w:b/>
      <w:bCs/>
      <w:kern w:val="44"/>
      <w:sz w:val="44"/>
      <w:szCs w:val="44"/>
    </w:rPr>
  </w:style>
  <w:style w:type="character" w:customStyle="1" w:styleId="2Char">
    <w:name w:val="标题 2 Char"/>
    <w:basedOn w:val="a0"/>
    <w:link w:val="2"/>
    <w:qFormat/>
    <w:rsid w:val="007D4334"/>
    <w:rPr>
      <w:rFonts w:ascii="Arial" w:eastAsia="黑体" w:hAnsi="Arial" w:cs="Times New Roman"/>
      <w:b/>
      <w:bCs/>
      <w:sz w:val="32"/>
      <w:szCs w:val="32"/>
    </w:rPr>
  </w:style>
  <w:style w:type="character" w:customStyle="1" w:styleId="Char3">
    <w:name w:val="脚注文本 Char"/>
    <w:basedOn w:val="a0"/>
    <w:link w:val="a7"/>
    <w:qFormat/>
    <w:rsid w:val="007D4334"/>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sid w:val="007D4334"/>
    <w:rPr>
      <w:rFonts w:ascii="Times New Roman" w:eastAsia="方正仿宋简体" w:hAnsi="Times New Roman" w:cs="Times New Roman"/>
      <w:sz w:val="18"/>
      <w:szCs w:val="18"/>
    </w:rPr>
  </w:style>
  <w:style w:type="character" w:customStyle="1" w:styleId="Char2">
    <w:name w:val="页眉 Char"/>
    <w:basedOn w:val="a0"/>
    <w:link w:val="a6"/>
    <w:uiPriority w:val="99"/>
    <w:qFormat/>
    <w:rsid w:val="007D4334"/>
    <w:rPr>
      <w:rFonts w:ascii="Times New Roman" w:eastAsia="方正仿宋简体" w:hAnsi="Times New Roman" w:cs="Times New Roman"/>
      <w:sz w:val="18"/>
      <w:szCs w:val="18"/>
    </w:rPr>
  </w:style>
  <w:style w:type="character" w:customStyle="1" w:styleId="Char1">
    <w:name w:val="页脚 Char"/>
    <w:basedOn w:val="a0"/>
    <w:link w:val="a5"/>
    <w:uiPriority w:val="99"/>
    <w:rsid w:val="007D4334"/>
    <w:rPr>
      <w:rFonts w:ascii="Times New Roman" w:eastAsia="方正仿宋简体" w:hAnsi="Times New Roman" w:cs="Times New Roman"/>
      <w:sz w:val="18"/>
      <w:szCs w:val="18"/>
    </w:rPr>
  </w:style>
  <w:style w:type="character" w:customStyle="1" w:styleId="Char">
    <w:name w:val="批注文字 Char"/>
    <w:basedOn w:val="a0"/>
    <w:link w:val="a3"/>
    <w:uiPriority w:val="99"/>
    <w:semiHidden/>
    <w:rsid w:val="007D4334"/>
    <w:rPr>
      <w:rFonts w:ascii="Times New Roman" w:eastAsia="方正仿宋简体" w:hAnsi="Times New Roman" w:cs="Times New Roman"/>
      <w:kern w:val="2"/>
      <w:sz w:val="32"/>
    </w:rPr>
  </w:style>
  <w:style w:type="character" w:customStyle="1" w:styleId="Char4">
    <w:name w:val="批注主题 Char"/>
    <w:basedOn w:val="Char"/>
    <w:link w:val="a8"/>
    <w:uiPriority w:val="99"/>
    <w:semiHidden/>
    <w:qFormat/>
    <w:rsid w:val="007D4334"/>
    <w:rPr>
      <w:rFonts w:ascii="Times New Roman" w:eastAsia="方正仿宋简体" w:hAnsi="Times New Roman" w:cs="Times New Roman"/>
      <w:b/>
      <w:bCs/>
      <w:kern w:val="2"/>
      <w:sz w:val="32"/>
    </w:rPr>
  </w:style>
  <w:style w:type="paragraph" w:customStyle="1" w:styleId="10">
    <w:name w:val="修订1"/>
    <w:hidden/>
    <w:uiPriority w:val="99"/>
    <w:unhideWhenUsed/>
    <w:qFormat/>
    <w:rsid w:val="007D4334"/>
    <w:rPr>
      <w:rFonts w:ascii="Times New Roman" w:eastAsia="方正仿宋简体" w:hAnsi="Times New Roman" w:cs="Times New Roman"/>
      <w:kern w:val="2"/>
      <w:sz w:val="32"/>
    </w:rPr>
  </w:style>
  <w:style w:type="paragraph" w:styleId="ab">
    <w:name w:val="Revision"/>
    <w:hidden/>
    <w:uiPriority w:val="99"/>
    <w:unhideWhenUsed/>
    <w:rsid w:val="001A6C1F"/>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8F08-1E64-4FA1-9AF7-86167F9E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4</DocSecurity>
  <Lines>6</Lines>
  <Paragraphs>1</Paragraphs>
  <ScaleCrop>false</ScaleCrop>
  <Company>微软中国</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2025-12-25T16:03:00Z</dcterms:created>
  <dcterms:modified xsi:type="dcterms:W3CDTF">2025-12-25T16:03:00Z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157E14EB0FE74E64B62625AB9530406D</vt:lpwstr>
  </property>
</Properties>
</file>