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7D" w:rsidRDefault="000F52A7" w:rsidP="00B3137D">
      <w:pPr>
        <w:widowControl/>
        <w:shd w:val="clear" w:color="auto" w:fill="FFFFFF"/>
        <w:spacing w:line="360" w:lineRule="auto"/>
        <w:ind w:firstLine="482"/>
        <w:jc w:val="center"/>
        <w:rPr>
          <w:rFonts w:ascii="Times" w:eastAsiaTheme="majorEastAsia" w:hAnsi="Times" w:cs="宋体"/>
          <w:b/>
          <w:color w:val="000000"/>
          <w:spacing w:val="3"/>
          <w:kern w:val="0"/>
          <w:sz w:val="30"/>
          <w:szCs w:val="30"/>
        </w:rPr>
      </w:pPr>
      <w:r w:rsidRPr="002E451D">
        <w:rPr>
          <w:rFonts w:ascii="Times" w:eastAsiaTheme="majorEastAsia" w:hAnsi="Times" w:cs="宋体" w:hint="eastAsia"/>
          <w:b/>
          <w:color w:val="000000"/>
          <w:spacing w:val="3"/>
          <w:kern w:val="0"/>
          <w:sz w:val="30"/>
          <w:szCs w:val="30"/>
        </w:rPr>
        <w:t>海富通基金管理有限公司关于调整旗下</w:t>
      </w:r>
      <w:r w:rsidR="005724CC" w:rsidRPr="002E451D">
        <w:rPr>
          <w:rFonts w:ascii="Times" w:eastAsiaTheme="majorEastAsia" w:hAnsi="Times" w:cs="宋体" w:hint="eastAsia"/>
          <w:b/>
          <w:color w:val="000000"/>
          <w:spacing w:val="3"/>
          <w:kern w:val="0"/>
          <w:sz w:val="30"/>
          <w:szCs w:val="30"/>
        </w:rPr>
        <w:t>部分</w:t>
      </w:r>
      <w:r w:rsidRPr="002E451D">
        <w:rPr>
          <w:rFonts w:ascii="Times" w:eastAsiaTheme="majorEastAsia" w:hAnsi="Times" w:cs="宋体" w:hint="eastAsia"/>
          <w:b/>
          <w:color w:val="000000"/>
          <w:spacing w:val="3"/>
          <w:kern w:val="0"/>
          <w:sz w:val="30"/>
          <w:szCs w:val="30"/>
        </w:rPr>
        <w:t>公募基金</w:t>
      </w:r>
    </w:p>
    <w:p w:rsidR="009021F9" w:rsidRPr="002E451D" w:rsidRDefault="000F52A7" w:rsidP="00B3137D">
      <w:pPr>
        <w:widowControl/>
        <w:shd w:val="clear" w:color="auto" w:fill="FFFFFF"/>
        <w:spacing w:line="360" w:lineRule="auto"/>
        <w:ind w:firstLine="482"/>
        <w:jc w:val="center"/>
        <w:rPr>
          <w:rFonts w:ascii="Times" w:eastAsiaTheme="majorEastAsia" w:hAnsi="Times" w:cs="宋体"/>
          <w:b/>
          <w:color w:val="000000"/>
          <w:spacing w:val="3"/>
          <w:kern w:val="0"/>
          <w:sz w:val="30"/>
          <w:szCs w:val="30"/>
        </w:rPr>
      </w:pPr>
      <w:r w:rsidRPr="002E451D">
        <w:rPr>
          <w:rFonts w:ascii="Times" w:eastAsiaTheme="majorEastAsia" w:hAnsi="Times" w:cs="宋体" w:hint="eastAsia"/>
          <w:b/>
          <w:color w:val="000000"/>
          <w:spacing w:val="3"/>
          <w:kern w:val="0"/>
          <w:sz w:val="30"/>
          <w:szCs w:val="30"/>
        </w:rPr>
        <w:t>风险等级的公告</w:t>
      </w:r>
    </w:p>
    <w:p w:rsidR="009021F9" w:rsidRPr="002E451D" w:rsidRDefault="000F52A7" w:rsidP="00E84C83">
      <w:pPr>
        <w:widowControl/>
        <w:shd w:val="clear" w:color="auto" w:fill="FFFFFF"/>
        <w:spacing w:before="100" w:beforeAutospacing="1" w:after="150" w:line="360" w:lineRule="auto"/>
        <w:ind w:firstLine="480"/>
        <w:rPr>
          <w:rFonts w:ascii="Times" w:hAnsi="Times" w:cs="宋体"/>
          <w:color w:val="000000"/>
          <w:spacing w:val="3"/>
          <w:kern w:val="0"/>
          <w:sz w:val="24"/>
          <w:szCs w:val="24"/>
        </w:rPr>
      </w:pPr>
      <w:r w:rsidRPr="002E451D">
        <w:rPr>
          <w:rFonts w:ascii="Times" w:hAnsi="Times" w:cs="宋体" w:hint="eastAsia"/>
          <w:color w:val="000000"/>
          <w:spacing w:val="3"/>
          <w:kern w:val="0"/>
          <w:sz w:val="24"/>
          <w:szCs w:val="24"/>
        </w:rPr>
        <w:t>根据《证券期货投资者适当性管理办法》、《基金募集机构投资者适当性管理实施指引</w:t>
      </w:r>
      <w:r w:rsidR="004733E4">
        <w:rPr>
          <w:rFonts w:ascii="Times" w:hAnsi="Times" w:cs="宋体" w:hint="eastAsia"/>
          <w:color w:val="000000"/>
          <w:spacing w:val="3"/>
          <w:kern w:val="0"/>
          <w:sz w:val="24"/>
          <w:szCs w:val="24"/>
        </w:rPr>
        <w:t>（</w:t>
      </w:r>
      <w:r w:rsidRPr="002E451D">
        <w:rPr>
          <w:rFonts w:ascii="Times" w:hAnsi="Times" w:cs="宋体" w:hint="eastAsia"/>
          <w:color w:val="000000"/>
          <w:spacing w:val="3"/>
          <w:kern w:val="0"/>
          <w:sz w:val="24"/>
          <w:szCs w:val="24"/>
        </w:rPr>
        <w:t>试行</w:t>
      </w:r>
      <w:r w:rsidR="004733E4">
        <w:rPr>
          <w:rFonts w:ascii="Times" w:hAnsi="Times" w:cs="宋体" w:hint="eastAsia"/>
          <w:color w:val="000000"/>
          <w:spacing w:val="3"/>
          <w:kern w:val="0"/>
          <w:sz w:val="24"/>
          <w:szCs w:val="24"/>
        </w:rPr>
        <w:t>）</w:t>
      </w:r>
      <w:r w:rsidRPr="002E451D">
        <w:rPr>
          <w:rFonts w:ascii="Times" w:hAnsi="Times" w:cs="宋体" w:hint="eastAsia"/>
          <w:color w:val="000000"/>
          <w:spacing w:val="3"/>
          <w:kern w:val="0"/>
          <w:sz w:val="24"/>
          <w:szCs w:val="24"/>
        </w:rPr>
        <w:t>》等相关法规规定，</w:t>
      </w:r>
      <w:r w:rsidR="00672052" w:rsidRPr="002E451D">
        <w:rPr>
          <w:rFonts w:ascii="Times" w:hAnsi="Times" w:cs="宋体" w:hint="eastAsia"/>
          <w:color w:val="000000"/>
          <w:spacing w:val="3"/>
          <w:kern w:val="0"/>
          <w:sz w:val="24"/>
          <w:szCs w:val="24"/>
        </w:rPr>
        <w:t>参考中国银河证券股份有限公司发布的《关于拟调整权益基金等基金产品适当性风险等级的通知》，</w:t>
      </w:r>
      <w:r w:rsidRPr="002E451D">
        <w:rPr>
          <w:rFonts w:ascii="Times" w:hAnsi="Times" w:cs="宋体" w:hint="eastAsia"/>
          <w:color w:val="000000"/>
          <w:spacing w:val="3"/>
          <w:kern w:val="0"/>
          <w:sz w:val="24"/>
          <w:szCs w:val="24"/>
        </w:rPr>
        <w:t>海富通基金管理有限公司（以下简称“本公司”）</w:t>
      </w:r>
      <w:r w:rsidR="0052643D">
        <w:rPr>
          <w:rFonts w:ascii="Times" w:hAnsi="Times" w:cs="宋体" w:hint="eastAsia"/>
          <w:color w:val="000000"/>
          <w:spacing w:val="3"/>
          <w:kern w:val="0"/>
          <w:sz w:val="24"/>
          <w:szCs w:val="24"/>
        </w:rPr>
        <w:t>决定调整</w:t>
      </w:r>
      <w:r w:rsidR="00672052" w:rsidRPr="002E451D">
        <w:rPr>
          <w:rFonts w:ascii="Times" w:hAnsi="Times" w:cs="宋体" w:hint="eastAsia"/>
          <w:color w:val="000000"/>
          <w:spacing w:val="3"/>
          <w:kern w:val="0"/>
          <w:sz w:val="24"/>
          <w:szCs w:val="24"/>
        </w:rPr>
        <w:t>旗下</w:t>
      </w:r>
      <w:r w:rsidR="0052643D">
        <w:rPr>
          <w:rFonts w:ascii="Times" w:hAnsi="Times" w:cs="宋体" w:hint="eastAsia"/>
          <w:color w:val="000000"/>
          <w:spacing w:val="3"/>
          <w:kern w:val="0"/>
          <w:sz w:val="24"/>
          <w:szCs w:val="24"/>
        </w:rPr>
        <w:t>部分</w:t>
      </w:r>
      <w:r w:rsidR="00672052" w:rsidRPr="002E451D">
        <w:rPr>
          <w:rFonts w:ascii="Times" w:hAnsi="Times" w:cs="宋体" w:hint="eastAsia"/>
          <w:color w:val="000000"/>
          <w:spacing w:val="3"/>
          <w:kern w:val="0"/>
          <w:sz w:val="24"/>
          <w:szCs w:val="24"/>
        </w:rPr>
        <w:t>公募基金的风险等级（具体调整情况详见下表“风险等级变化一览表”）。调整后的风险等级</w:t>
      </w:r>
      <w:r w:rsidRPr="002E451D">
        <w:rPr>
          <w:rFonts w:ascii="Times" w:hAnsi="Times" w:cs="宋体" w:hint="eastAsia"/>
          <w:color w:val="000000"/>
          <w:spacing w:val="3"/>
          <w:kern w:val="0"/>
          <w:sz w:val="24"/>
          <w:szCs w:val="24"/>
        </w:rPr>
        <w:t>自</w:t>
      </w:r>
      <w:r w:rsidRPr="002E451D">
        <w:rPr>
          <w:rFonts w:ascii="Times" w:hAnsi="Times" w:cs="宋体" w:hint="eastAsia"/>
          <w:color w:val="000000"/>
          <w:spacing w:val="3"/>
          <w:kern w:val="0"/>
          <w:sz w:val="24"/>
          <w:szCs w:val="24"/>
        </w:rPr>
        <w:t>202</w:t>
      </w:r>
      <w:r w:rsidR="00672052" w:rsidRPr="002E451D">
        <w:rPr>
          <w:rFonts w:ascii="Times" w:hAnsi="Times" w:cs="宋体" w:hint="eastAsia"/>
          <w:color w:val="000000"/>
          <w:spacing w:val="3"/>
          <w:kern w:val="0"/>
          <w:sz w:val="24"/>
          <w:szCs w:val="24"/>
        </w:rPr>
        <w:t>6</w:t>
      </w:r>
      <w:r w:rsidRPr="002E451D">
        <w:rPr>
          <w:rFonts w:ascii="Times" w:hAnsi="Times" w:cs="宋体" w:hint="eastAsia"/>
          <w:color w:val="000000"/>
          <w:spacing w:val="3"/>
          <w:kern w:val="0"/>
          <w:sz w:val="24"/>
          <w:szCs w:val="24"/>
        </w:rPr>
        <w:t>年</w:t>
      </w:r>
      <w:r w:rsidR="00672052" w:rsidRPr="002E451D">
        <w:rPr>
          <w:rFonts w:ascii="Times" w:hAnsi="Times" w:cs="宋体" w:hint="eastAsia"/>
          <w:color w:val="000000"/>
          <w:spacing w:val="3"/>
          <w:kern w:val="0"/>
          <w:sz w:val="24"/>
          <w:szCs w:val="24"/>
        </w:rPr>
        <w:t>1</w:t>
      </w:r>
      <w:r w:rsidRPr="002E451D">
        <w:rPr>
          <w:rFonts w:ascii="Times" w:hAnsi="Times" w:cs="宋体" w:hint="eastAsia"/>
          <w:color w:val="000000"/>
          <w:spacing w:val="3"/>
          <w:kern w:val="0"/>
          <w:sz w:val="24"/>
          <w:szCs w:val="24"/>
        </w:rPr>
        <w:t>月</w:t>
      </w:r>
      <w:r w:rsidRPr="002E451D">
        <w:rPr>
          <w:rFonts w:ascii="Times" w:hAnsi="Times" w:cs="宋体" w:hint="eastAsia"/>
          <w:color w:val="000000"/>
          <w:spacing w:val="3"/>
          <w:kern w:val="0"/>
          <w:sz w:val="24"/>
          <w:szCs w:val="24"/>
        </w:rPr>
        <w:t>1</w:t>
      </w:r>
      <w:r w:rsidRPr="002E451D">
        <w:rPr>
          <w:rFonts w:ascii="Times" w:hAnsi="Times" w:cs="宋体" w:hint="eastAsia"/>
          <w:color w:val="000000"/>
          <w:spacing w:val="3"/>
          <w:kern w:val="0"/>
          <w:sz w:val="24"/>
          <w:szCs w:val="24"/>
        </w:rPr>
        <w:t>日起</w:t>
      </w:r>
      <w:r w:rsidR="00672052" w:rsidRPr="002E451D">
        <w:rPr>
          <w:rFonts w:ascii="Times" w:hAnsi="Times" w:cs="宋体" w:hint="eastAsia"/>
          <w:color w:val="000000"/>
          <w:spacing w:val="3"/>
          <w:kern w:val="0"/>
          <w:sz w:val="24"/>
          <w:szCs w:val="24"/>
        </w:rPr>
        <w:t>开始执行。敬请广大投资者关注基金产品风险等级的变化以及对投资者决策带来的影响，同时，本公司保留在特殊情况下对产品风险等级调整的权利。</w:t>
      </w:r>
    </w:p>
    <w:p w:rsidR="00672052" w:rsidRPr="002E451D" w:rsidRDefault="00672052" w:rsidP="00672052">
      <w:pPr>
        <w:widowControl/>
        <w:shd w:val="clear" w:color="auto" w:fill="FFFFFF"/>
        <w:spacing w:before="100" w:beforeAutospacing="1" w:after="150" w:line="360" w:lineRule="auto"/>
        <w:rPr>
          <w:rFonts w:ascii="Times" w:hAnsi="Times" w:cs="宋体"/>
          <w:color w:val="000000"/>
          <w:spacing w:val="3"/>
          <w:kern w:val="0"/>
          <w:sz w:val="24"/>
          <w:szCs w:val="24"/>
        </w:rPr>
      </w:pPr>
      <w:r w:rsidRPr="002E451D">
        <w:rPr>
          <w:rFonts w:ascii="Times" w:hAnsi="Times" w:cs="宋体" w:hint="eastAsia"/>
          <w:color w:val="000000"/>
          <w:spacing w:val="3"/>
          <w:kern w:val="0"/>
          <w:sz w:val="24"/>
          <w:szCs w:val="24"/>
        </w:rPr>
        <w:t>表：风险等级变化一览表</w:t>
      </w:r>
    </w:p>
    <w:tbl>
      <w:tblPr>
        <w:tblStyle w:val="a5"/>
        <w:tblW w:w="0" w:type="auto"/>
        <w:tblLook w:val="04A0"/>
      </w:tblPr>
      <w:tblGrid>
        <w:gridCol w:w="1143"/>
        <w:gridCol w:w="3672"/>
        <w:gridCol w:w="1701"/>
        <w:gridCol w:w="1780"/>
      </w:tblGrid>
      <w:tr w:rsidR="009021F9" w:rsidRPr="002E451D" w:rsidTr="00672052">
        <w:trPr>
          <w:trHeight w:val="623"/>
        </w:trPr>
        <w:tc>
          <w:tcPr>
            <w:tcW w:w="1143" w:type="dxa"/>
            <w:vAlign w:val="center"/>
          </w:tcPr>
          <w:p w:rsidR="009021F9" w:rsidRPr="002E451D" w:rsidRDefault="000F52A7" w:rsidP="002E451D">
            <w:pPr>
              <w:widowControl/>
              <w:jc w:val="center"/>
              <w:rPr>
                <w:rFonts w:ascii="Times" w:eastAsia="宋体" w:hAnsi="Times" w:cs="Times New Roman"/>
                <w:b/>
                <w:bCs/>
                <w:color w:val="000000"/>
                <w:spacing w:val="3"/>
                <w:kern w:val="0"/>
                <w:szCs w:val="21"/>
              </w:rPr>
            </w:pPr>
            <w:r w:rsidRPr="002E451D">
              <w:rPr>
                <w:rFonts w:ascii="Times" w:eastAsia="宋体" w:hAnsi="Times" w:cs="Times New Roman"/>
                <w:b/>
                <w:bCs/>
                <w:color w:val="000000"/>
                <w:spacing w:val="3"/>
                <w:kern w:val="0"/>
                <w:szCs w:val="21"/>
              </w:rPr>
              <w:t>基金代码</w:t>
            </w:r>
          </w:p>
        </w:tc>
        <w:tc>
          <w:tcPr>
            <w:tcW w:w="3672" w:type="dxa"/>
            <w:vAlign w:val="center"/>
          </w:tcPr>
          <w:p w:rsidR="009021F9" w:rsidRPr="002E451D" w:rsidRDefault="00B3137D" w:rsidP="002E451D">
            <w:pPr>
              <w:widowControl/>
              <w:jc w:val="center"/>
              <w:rPr>
                <w:rFonts w:ascii="Times" w:eastAsia="宋体" w:hAnsi="Times" w:cs="Times New Roman"/>
                <w:b/>
                <w:bCs/>
                <w:color w:val="000000"/>
                <w:spacing w:val="3"/>
                <w:kern w:val="0"/>
                <w:szCs w:val="21"/>
              </w:rPr>
            </w:pPr>
            <w:r>
              <w:rPr>
                <w:rFonts w:ascii="Times" w:eastAsia="宋体" w:hAnsi="Times" w:cs="Times New Roman" w:hint="eastAsia"/>
                <w:b/>
                <w:bCs/>
                <w:color w:val="000000"/>
                <w:spacing w:val="3"/>
                <w:kern w:val="0"/>
                <w:szCs w:val="21"/>
              </w:rPr>
              <w:t>基金名称</w:t>
            </w:r>
          </w:p>
        </w:tc>
        <w:tc>
          <w:tcPr>
            <w:tcW w:w="1701" w:type="dxa"/>
            <w:vAlign w:val="center"/>
          </w:tcPr>
          <w:p w:rsidR="00672052" w:rsidRPr="002E451D" w:rsidRDefault="000F52A7" w:rsidP="002E451D">
            <w:pPr>
              <w:widowControl/>
              <w:jc w:val="center"/>
              <w:rPr>
                <w:rFonts w:ascii="Times" w:eastAsia="宋体" w:hAnsi="Times" w:cs="Times New Roman"/>
                <w:b/>
                <w:bCs/>
                <w:color w:val="000000"/>
                <w:spacing w:val="3"/>
                <w:kern w:val="0"/>
                <w:szCs w:val="21"/>
              </w:rPr>
            </w:pPr>
            <w:r w:rsidRPr="002E451D">
              <w:rPr>
                <w:rFonts w:ascii="Times" w:eastAsia="宋体" w:hAnsi="Times" w:cs="Times New Roman"/>
                <w:b/>
                <w:bCs/>
                <w:color w:val="000000"/>
                <w:spacing w:val="3"/>
                <w:kern w:val="0"/>
                <w:szCs w:val="21"/>
              </w:rPr>
              <w:t>调整前</w:t>
            </w:r>
          </w:p>
          <w:p w:rsidR="009021F9" w:rsidRPr="002E451D" w:rsidRDefault="000F52A7" w:rsidP="002E451D">
            <w:pPr>
              <w:widowControl/>
              <w:jc w:val="center"/>
              <w:rPr>
                <w:rFonts w:ascii="Times" w:eastAsia="宋体" w:hAnsi="Times" w:cs="Times New Roman"/>
                <w:b/>
                <w:bCs/>
                <w:color w:val="000000"/>
                <w:spacing w:val="3"/>
                <w:kern w:val="0"/>
                <w:szCs w:val="21"/>
              </w:rPr>
            </w:pPr>
            <w:r w:rsidRPr="002E451D">
              <w:rPr>
                <w:rFonts w:ascii="Times" w:eastAsia="宋体" w:hAnsi="Times" w:cs="Times New Roman"/>
                <w:b/>
                <w:bCs/>
                <w:color w:val="000000"/>
                <w:spacing w:val="3"/>
                <w:kern w:val="0"/>
                <w:szCs w:val="21"/>
              </w:rPr>
              <w:t>风险等级</w:t>
            </w:r>
          </w:p>
        </w:tc>
        <w:tc>
          <w:tcPr>
            <w:tcW w:w="1780" w:type="dxa"/>
            <w:vAlign w:val="center"/>
          </w:tcPr>
          <w:p w:rsidR="00672052" w:rsidRPr="002E451D" w:rsidRDefault="000F52A7" w:rsidP="002E451D">
            <w:pPr>
              <w:widowControl/>
              <w:jc w:val="center"/>
              <w:rPr>
                <w:rFonts w:ascii="Times" w:eastAsia="宋体" w:hAnsi="Times" w:cs="Times New Roman"/>
                <w:b/>
                <w:bCs/>
                <w:color w:val="000000"/>
                <w:spacing w:val="3"/>
                <w:kern w:val="0"/>
                <w:szCs w:val="21"/>
              </w:rPr>
            </w:pPr>
            <w:r w:rsidRPr="002E451D">
              <w:rPr>
                <w:rFonts w:ascii="Times" w:eastAsia="宋体" w:hAnsi="Times" w:cs="Times New Roman"/>
                <w:b/>
                <w:bCs/>
                <w:color w:val="000000"/>
                <w:spacing w:val="3"/>
                <w:kern w:val="0"/>
                <w:szCs w:val="21"/>
              </w:rPr>
              <w:t>调整后</w:t>
            </w:r>
          </w:p>
          <w:p w:rsidR="009021F9" w:rsidRPr="002E451D" w:rsidRDefault="000F52A7" w:rsidP="002E451D">
            <w:pPr>
              <w:widowControl/>
              <w:jc w:val="center"/>
              <w:rPr>
                <w:rFonts w:ascii="Times" w:eastAsia="宋体" w:hAnsi="Times" w:cs="Times New Roman"/>
                <w:b/>
                <w:bCs/>
                <w:color w:val="000000"/>
                <w:spacing w:val="3"/>
                <w:kern w:val="0"/>
                <w:szCs w:val="21"/>
              </w:rPr>
            </w:pPr>
            <w:r w:rsidRPr="002E451D">
              <w:rPr>
                <w:rFonts w:ascii="Times" w:eastAsia="宋体" w:hAnsi="Times" w:cs="Times New Roman"/>
                <w:b/>
                <w:bCs/>
                <w:color w:val="000000"/>
                <w:spacing w:val="3"/>
                <w:kern w:val="0"/>
                <w:szCs w:val="21"/>
              </w:rPr>
              <w:t>风险等级</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005188</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海富通量化前锋股票型证券投资基金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008084</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海富通先进制造股票型证券投资基金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023404</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海富通致远量化选股股票型发起式证券投资基金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162307</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海富通中证</w:t>
            </w:r>
            <w:r w:rsidRPr="002E451D">
              <w:rPr>
                <w:rFonts w:ascii="Times" w:eastAsia="宋体" w:hAnsi="Times" w:cs="Times New Roman"/>
                <w:color w:val="000000"/>
                <w:szCs w:val="21"/>
              </w:rPr>
              <w:t>A100</w:t>
            </w:r>
            <w:r w:rsidRPr="002E451D">
              <w:rPr>
                <w:rFonts w:ascii="Times" w:eastAsia="宋体" w:hAnsi="Times" w:cs="Times New Roman"/>
                <w:color w:val="000000"/>
                <w:szCs w:val="21"/>
              </w:rPr>
              <w:t>指数证券投资基金</w:t>
            </w:r>
            <w:r w:rsidRPr="002E451D">
              <w:rPr>
                <w:rFonts w:ascii="Times" w:eastAsia="宋体" w:hAnsi="Times" w:cs="Times New Roman"/>
                <w:color w:val="000000"/>
                <w:szCs w:val="21"/>
              </w:rPr>
              <w:t>(LOF)</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004512</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海富通沪深</w:t>
            </w:r>
            <w:r w:rsidRPr="002E451D">
              <w:rPr>
                <w:rFonts w:ascii="Times" w:eastAsia="宋体" w:hAnsi="Times" w:cs="Times New Roman"/>
                <w:color w:val="000000"/>
                <w:szCs w:val="21"/>
              </w:rPr>
              <w:t>300</w:t>
            </w:r>
            <w:r w:rsidRPr="002E451D">
              <w:rPr>
                <w:rFonts w:ascii="Times" w:eastAsia="宋体" w:hAnsi="Times" w:cs="Times New Roman"/>
                <w:color w:val="000000"/>
                <w:szCs w:val="21"/>
              </w:rPr>
              <w:t>指数增强型证券投资基金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519034</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海富通中证</w:t>
            </w:r>
            <w:r w:rsidRPr="002E451D">
              <w:rPr>
                <w:rFonts w:ascii="Times" w:eastAsia="宋体" w:hAnsi="Times" w:cs="Times New Roman"/>
                <w:color w:val="000000"/>
                <w:szCs w:val="21"/>
              </w:rPr>
              <w:t>500</w:t>
            </w:r>
            <w:r w:rsidRPr="002E451D">
              <w:rPr>
                <w:rFonts w:ascii="Times" w:eastAsia="宋体" w:hAnsi="Times" w:cs="Times New Roman"/>
                <w:color w:val="000000"/>
                <w:szCs w:val="21"/>
              </w:rPr>
              <w:t>指数增强型证券投资基金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023367</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海富通中证</w:t>
            </w:r>
            <w:r w:rsidRPr="002E451D">
              <w:rPr>
                <w:rFonts w:ascii="Times" w:eastAsia="宋体" w:hAnsi="Times" w:cs="Times New Roman"/>
                <w:color w:val="000000"/>
                <w:szCs w:val="21"/>
              </w:rPr>
              <w:t>A500</w:t>
            </w:r>
            <w:r w:rsidRPr="002E451D">
              <w:rPr>
                <w:rFonts w:ascii="Times" w:eastAsia="宋体" w:hAnsi="Times" w:cs="Times New Roman"/>
                <w:color w:val="000000"/>
                <w:szCs w:val="21"/>
              </w:rPr>
              <w:t>指数增强型发起式证券投资基金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563860</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海富通中证</w:t>
            </w:r>
            <w:r w:rsidRPr="002E451D">
              <w:rPr>
                <w:rFonts w:ascii="Times" w:eastAsia="宋体" w:hAnsi="Times" w:cs="Times New Roman"/>
                <w:color w:val="000000"/>
                <w:szCs w:val="21"/>
              </w:rPr>
              <w:t>A500</w:t>
            </w:r>
            <w:r w:rsidRPr="002E451D">
              <w:rPr>
                <w:rFonts w:ascii="Times" w:eastAsia="宋体" w:hAnsi="Times" w:cs="Times New Roman"/>
                <w:color w:val="000000"/>
                <w:szCs w:val="21"/>
              </w:rPr>
              <w:t>交易型开放式指数证券投资基金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519005</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海富通股票混合型证券投资基金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lastRenderedPageBreak/>
              <w:t>519013</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海富通风格优势混合型证券投资基金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519025</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海富通领先成长混合型证券投资基金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519026</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海富通中小盘混合型证券投资基金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519033</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海富通国策导向混合型证券投资基金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519056</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海富通内需热点混合型证券投资基金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006556</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海富通研究精选混合型证券投资基金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009024</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海富通科技创新混合型证券投资基金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009651</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海富通成长甄选混合型证券投资基金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010286</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海富通成长价值混合型证券投资基金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010790</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海富通均衡甄选混合型证券投资基金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012410</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海富通成长领航混合型证券投资基金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019972</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海富通产业优选混合型证券投资基金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020695</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海富通红利优选混合型证券投资基金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021655</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海富通量化选股混合型证券投资基金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018796</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海富通远见回报混合型证券投资基金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519011</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海富通精选证券投资基金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519015</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海富通精选贰号混合型证券投资基金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519139</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海富通沪港深灵活配置混合型证券投资基金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519130</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海富通新内需灵活配置混合型证券投资基金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519133</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海富通改革驱动灵活配置混合型证券投资基金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r w:rsidR="00672052" w:rsidRPr="002E451D" w:rsidTr="00672052">
        <w:trPr>
          <w:trHeight w:val="623"/>
        </w:trPr>
        <w:tc>
          <w:tcPr>
            <w:tcW w:w="1143"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zCs w:val="21"/>
              </w:rPr>
              <w:t>519223</w:t>
            </w:r>
          </w:p>
        </w:tc>
        <w:tc>
          <w:tcPr>
            <w:tcW w:w="3672" w:type="dxa"/>
            <w:vAlign w:val="center"/>
          </w:tcPr>
          <w:p w:rsidR="00672052" w:rsidRPr="002E451D" w:rsidRDefault="00672052" w:rsidP="002E451D">
            <w:pPr>
              <w:widowControl/>
              <w:spacing w:before="100" w:beforeAutospacing="1" w:after="150"/>
              <w:rPr>
                <w:rFonts w:ascii="Times" w:eastAsia="宋体" w:hAnsi="Times" w:cs="Times New Roman"/>
                <w:color w:val="000000"/>
                <w:spacing w:val="3"/>
                <w:kern w:val="0"/>
                <w:szCs w:val="21"/>
              </w:rPr>
            </w:pPr>
            <w:r w:rsidRPr="002E451D">
              <w:rPr>
                <w:rFonts w:ascii="Times" w:eastAsia="宋体" w:hAnsi="Times" w:cs="Times New Roman"/>
                <w:color w:val="000000"/>
                <w:szCs w:val="21"/>
              </w:rPr>
              <w:t>海富通欣荣灵活配置混合型证券投资基金</w:t>
            </w:r>
          </w:p>
        </w:tc>
        <w:tc>
          <w:tcPr>
            <w:tcW w:w="1701"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中风险（</w:t>
            </w:r>
            <w:r w:rsidRPr="002E451D">
              <w:rPr>
                <w:rFonts w:ascii="Times" w:eastAsia="宋体" w:hAnsi="Times" w:cs="Times New Roman"/>
                <w:color w:val="000000"/>
                <w:spacing w:val="3"/>
                <w:kern w:val="0"/>
                <w:szCs w:val="21"/>
              </w:rPr>
              <w:t>R3</w:t>
            </w:r>
            <w:r w:rsidRPr="002E451D">
              <w:rPr>
                <w:rFonts w:ascii="Times" w:eastAsia="宋体" w:hAnsi="Times" w:cs="Times New Roman"/>
                <w:color w:val="000000"/>
                <w:spacing w:val="3"/>
                <w:kern w:val="0"/>
                <w:szCs w:val="21"/>
              </w:rPr>
              <w:t>）</w:t>
            </w:r>
          </w:p>
        </w:tc>
        <w:tc>
          <w:tcPr>
            <w:tcW w:w="1780" w:type="dxa"/>
            <w:vAlign w:val="center"/>
          </w:tcPr>
          <w:p w:rsidR="00672052" w:rsidRPr="002E451D" w:rsidRDefault="00672052" w:rsidP="002E451D">
            <w:pPr>
              <w:widowControl/>
              <w:spacing w:before="100" w:beforeAutospacing="1" w:after="150"/>
              <w:jc w:val="center"/>
              <w:rPr>
                <w:rFonts w:ascii="Times" w:eastAsia="宋体" w:hAnsi="Times" w:cs="Times New Roman"/>
                <w:color w:val="000000"/>
                <w:spacing w:val="3"/>
                <w:kern w:val="0"/>
                <w:szCs w:val="21"/>
              </w:rPr>
            </w:pPr>
            <w:r w:rsidRPr="002E451D">
              <w:rPr>
                <w:rFonts w:ascii="Times" w:eastAsia="宋体" w:hAnsi="Times" w:cs="Times New Roman"/>
                <w:color w:val="000000"/>
                <w:spacing w:val="3"/>
                <w:kern w:val="0"/>
                <w:szCs w:val="21"/>
              </w:rPr>
              <w:t>中高风险（</w:t>
            </w:r>
            <w:r w:rsidRPr="002E451D">
              <w:rPr>
                <w:rFonts w:ascii="Times" w:eastAsia="宋体" w:hAnsi="Times" w:cs="Times New Roman"/>
                <w:color w:val="000000"/>
                <w:spacing w:val="3"/>
                <w:kern w:val="0"/>
                <w:szCs w:val="21"/>
              </w:rPr>
              <w:t>R4</w:t>
            </w:r>
            <w:r w:rsidRPr="002E451D">
              <w:rPr>
                <w:rFonts w:ascii="Times" w:eastAsia="宋体" w:hAnsi="Times" w:cs="Times New Roman"/>
                <w:color w:val="000000"/>
                <w:spacing w:val="3"/>
                <w:kern w:val="0"/>
                <w:szCs w:val="21"/>
              </w:rPr>
              <w:t>）</w:t>
            </w:r>
          </w:p>
        </w:tc>
      </w:tr>
    </w:tbl>
    <w:p w:rsidR="009021F9" w:rsidRPr="002E451D" w:rsidRDefault="000F52A7" w:rsidP="002E451D">
      <w:pPr>
        <w:widowControl/>
        <w:shd w:val="clear" w:color="auto" w:fill="FFFFFF"/>
        <w:spacing w:line="360" w:lineRule="auto"/>
        <w:ind w:firstLine="480"/>
        <w:rPr>
          <w:rFonts w:ascii="Times" w:hAnsi="Times" w:cs="宋体"/>
          <w:color w:val="000000"/>
          <w:spacing w:val="3"/>
          <w:kern w:val="0"/>
          <w:sz w:val="24"/>
          <w:szCs w:val="24"/>
        </w:rPr>
      </w:pPr>
      <w:r w:rsidRPr="002E451D">
        <w:rPr>
          <w:rFonts w:ascii="Times" w:hAnsi="Times" w:cs="宋体" w:hint="eastAsia"/>
          <w:b/>
          <w:bCs/>
          <w:color w:val="000000"/>
          <w:spacing w:val="3"/>
          <w:kern w:val="0"/>
          <w:sz w:val="24"/>
          <w:szCs w:val="24"/>
        </w:rPr>
        <w:lastRenderedPageBreak/>
        <w:t>重要提示</w:t>
      </w:r>
      <w:r w:rsidRPr="002E451D">
        <w:rPr>
          <w:rFonts w:ascii="Times" w:hAnsi="Times" w:cs="宋体" w:hint="eastAsia"/>
          <w:color w:val="000000"/>
          <w:spacing w:val="3"/>
          <w:kern w:val="0"/>
          <w:sz w:val="24"/>
          <w:szCs w:val="24"/>
        </w:rPr>
        <w:t>：</w:t>
      </w:r>
    </w:p>
    <w:p w:rsidR="009021F9" w:rsidRPr="002E451D" w:rsidRDefault="000F52A7" w:rsidP="002E451D">
      <w:pPr>
        <w:widowControl/>
        <w:shd w:val="clear" w:color="auto" w:fill="FFFFFF"/>
        <w:spacing w:line="360" w:lineRule="auto"/>
        <w:ind w:firstLine="480"/>
        <w:rPr>
          <w:rFonts w:ascii="Times" w:hAnsi="Times" w:cs="宋体"/>
          <w:color w:val="000000"/>
          <w:spacing w:val="3"/>
          <w:kern w:val="0"/>
          <w:sz w:val="24"/>
          <w:szCs w:val="24"/>
        </w:rPr>
      </w:pPr>
      <w:r w:rsidRPr="002E451D">
        <w:rPr>
          <w:rFonts w:ascii="Times" w:hAnsi="Times" w:cs="宋体" w:hint="eastAsia"/>
          <w:color w:val="000000"/>
          <w:spacing w:val="3"/>
          <w:kern w:val="0"/>
          <w:sz w:val="24"/>
          <w:szCs w:val="24"/>
        </w:rPr>
        <w:t>1</w:t>
      </w:r>
      <w:r w:rsidRPr="002E451D">
        <w:rPr>
          <w:rFonts w:ascii="Times" w:hAnsi="Times" w:cs="宋体" w:hint="eastAsia"/>
          <w:color w:val="000000"/>
          <w:spacing w:val="3"/>
          <w:kern w:val="0"/>
          <w:sz w:val="24"/>
          <w:szCs w:val="24"/>
        </w:rPr>
        <w:t>、</w:t>
      </w:r>
      <w:r w:rsidR="0052385A" w:rsidRPr="002E451D">
        <w:rPr>
          <w:rFonts w:ascii="Times" w:hAnsi="Times" w:cs="宋体" w:hint="eastAsia"/>
          <w:color w:val="000000"/>
          <w:spacing w:val="3"/>
          <w:kern w:val="0"/>
          <w:sz w:val="24"/>
          <w:szCs w:val="24"/>
        </w:rPr>
        <w:t>投资者购买基金后，所购买的基金产品风险等级可能因市场或运作情况等影响而发生调整，并可能超出投资者自身风险承受能力，从而可能产生不利后果和损失。请投资者务必了解调整后的基金风险等级，并根据自身的投资目的、投资期限、投资经验、资产状况等判断基金是否与本人的风险承受能力及投资需求相适应。</w:t>
      </w:r>
    </w:p>
    <w:p w:rsidR="00652CC1" w:rsidRPr="002E451D" w:rsidRDefault="004B0460" w:rsidP="002E451D">
      <w:pPr>
        <w:widowControl/>
        <w:shd w:val="clear" w:color="auto" w:fill="FFFFFF"/>
        <w:spacing w:line="360" w:lineRule="auto"/>
        <w:ind w:firstLine="480"/>
        <w:rPr>
          <w:rFonts w:ascii="Times" w:hAnsi="Times" w:cs="宋体"/>
          <w:color w:val="000000"/>
          <w:spacing w:val="3"/>
          <w:kern w:val="0"/>
          <w:sz w:val="24"/>
          <w:szCs w:val="24"/>
        </w:rPr>
      </w:pPr>
      <w:r w:rsidRPr="002E451D">
        <w:rPr>
          <w:rFonts w:ascii="Times" w:hAnsi="Times" w:cs="宋体"/>
          <w:color w:val="000000"/>
          <w:spacing w:val="3"/>
          <w:kern w:val="0"/>
          <w:sz w:val="24"/>
          <w:szCs w:val="24"/>
        </w:rPr>
        <w:t>2</w:t>
      </w:r>
      <w:r w:rsidR="00652CC1" w:rsidRPr="002E451D">
        <w:rPr>
          <w:rFonts w:ascii="Times" w:hAnsi="Times" w:cs="宋体" w:hint="eastAsia"/>
          <w:color w:val="000000"/>
          <w:spacing w:val="3"/>
          <w:kern w:val="0"/>
          <w:sz w:val="24"/>
          <w:szCs w:val="24"/>
        </w:rPr>
        <w:t>、销售机构</w:t>
      </w:r>
      <w:r w:rsidR="00672052" w:rsidRPr="002E451D">
        <w:rPr>
          <w:rFonts w:ascii="Times" w:hAnsi="Times" w:cs="宋体" w:hint="eastAsia"/>
          <w:color w:val="000000"/>
          <w:spacing w:val="3"/>
          <w:kern w:val="0"/>
          <w:sz w:val="24"/>
          <w:szCs w:val="24"/>
        </w:rPr>
        <w:t>（包括基金管理人直销机构和代销机构）</w:t>
      </w:r>
      <w:r w:rsidR="00652CC1" w:rsidRPr="002E451D">
        <w:rPr>
          <w:rFonts w:ascii="Times" w:hAnsi="Times" w:cs="宋体" w:hint="eastAsia"/>
          <w:color w:val="000000"/>
          <w:spacing w:val="3"/>
          <w:kern w:val="0"/>
          <w:sz w:val="24"/>
          <w:szCs w:val="24"/>
        </w:rPr>
        <w:t>根据</w:t>
      </w:r>
      <w:r w:rsidR="00652CC1" w:rsidRPr="002E451D">
        <w:rPr>
          <w:rFonts w:ascii="Times" w:hAnsi="Times" w:cs="宋体"/>
          <w:spacing w:val="3"/>
          <w:kern w:val="0"/>
          <w:sz w:val="24"/>
          <w:szCs w:val="24"/>
        </w:rPr>
        <w:t>投资者适当性法律法规对基金进行风险评价，不同的销售机构采用的评价方法不同，因此不同销售机构对基金的风险等级评价结果可能存在不同。</w:t>
      </w:r>
    </w:p>
    <w:p w:rsidR="009021F9" w:rsidRPr="002E451D" w:rsidRDefault="004B0460" w:rsidP="002E451D">
      <w:pPr>
        <w:widowControl/>
        <w:shd w:val="clear" w:color="auto" w:fill="FFFFFF"/>
        <w:spacing w:line="360" w:lineRule="auto"/>
        <w:ind w:firstLineChars="200" w:firstLine="492"/>
        <w:rPr>
          <w:rFonts w:ascii="Times" w:hAnsi="Times" w:cs="宋体"/>
          <w:color w:val="000000"/>
          <w:spacing w:val="3"/>
          <w:kern w:val="0"/>
          <w:sz w:val="24"/>
          <w:szCs w:val="24"/>
        </w:rPr>
      </w:pPr>
      <w:r w:rsidRPr="002E451D">
        <w:rPr>
          <w:rFonts w:ascii="Times" w:hAnsi="Times" w:cs="宋体"/>
          <w:color w:val="000000"/>
          <w:spacing w:val="3"/>
          <w:kern w:val="0"/>
          <w:sz w:val="24"/>
          <w:szCs w:val="24"/>
        </w:rPr>
        <w:t>3</w:t>
      </w:r>
      <w:r w:rsidR="000F52A7" w:rsidRPr="002E451D">
        <w:rPr>
          <w:rFonts w:ascii="Times" w:hAnsi="Times" w:cs="宋体" w:hint="eastAsia"/>
          <w:color w:val="000000"/>
          <w:spacing w:val="3"/>
          <w:kern w:val="0"/>
          <w:sz w:val="24"/>
          <w:szCs w:val="24"/>
        </w:rPr>
        <w:t>、本公司承诺以诚实信用、勤勉尽责的原则管理和运用基金资产</w:t>
      </w:r>
      <w:r w:rsidR="00332B94">
        <w:rPr>
          <w:rFonts w:ascii="Times" w:hAnsi="Times" w:cs="宋体" w:hint="eastAsia"/>
          <w:color w:val="000000"/>
          <w:spacing w:val="3"/>
          <w:kern w:val="0"/>
          <w:sz w:val="24"/>
          <w:szCs w:val="24"/>
        </w:rPr>
        <w:t>，</w:t>
      </w:r>
      <w:r w:rsidR="000F52A7" w:rsidRPr="002E451D">
        <w:rPr>
          <w:rFonts w:ascii="Times" w:hAnsi="Times" w:cs="宋体" w:hint="eastAsia"/>
          <w:color w:val="000000"/>
          <w:spacing w:val="3"/>
          <w:kern w:val="0"/>
          <w:sz w:val="24"/>
          <w:szCs w:val="24"/>
        </w:rPr>
        <w:t>但不保证基金一定盈利</w:t>
      </w:r>
      <w:r w:rsidR="00332B94">
        <w:rPr>
          <w:rFonts w:ascii="Times" w:hAnsi="Times" w:cs="宋体" w:hint="eastAsia"/>
          <w:color w:val="000000"/>
          <w:spacing w:val="3"/>
          <w:kern w:val="0"/>
          <w:sz w:val="24"/>
          <w:szCs w:val="24"/>
        </w:rPr>
        <w:t>，</w:t>
      </w:r>
      <w:r w:rsidR="000F52A7" w:rsidRPr="002E451D">
        <w:rPr>
          <w:rFonts w:ascii="Times" w:hAnsi="Times" w:cs="宋体" w:hint="eastAsia"/>
          <w:color w:val="000000"/>
          <w:spacing w:val="3"/>
          <w:kern w:val="0"/>
          <w:sz w:val="24"/>
          <w:szCs w:val="24"/>
        </w:rPr>
        <w:t>也不保证最低收益。基金的过往业绩并不预示其未来表现，敬请投资者注意投资风险。基金有风险，投资需谨慎，请投资</w:t>
      </w:r>
      <w:r w:rsidR="00140E7F">
        <w:rPr>
          <w:rFonts w:ascii="Times" w:hAnsi="Times" w:cs="宋体" w:hint="eastAsia"/>
          <w:color w:val="000000"/>
          <w:spacing w:val="3"/>
          <w:kern w:val="0"/>
          <w:sz w:val="24"/>
          <w:szCs w:val="24"/>
        </w:rPr>
        <w:t>者</w:t>
      </w:r>
      <w:r w:rsidR="000F52A7" w:rsidRPr="002E451D">
        <w:rPr>
          <w:rFonts w:ascii="Times" w:hAnsi="Times" w:cs="宋体" w:hint="eastAsia"/>
          <w:color w:val="000000"/>
          <w:spacing w:val="3"/>
          <w:kern w:val="0"/>
          <w:sz w:val="24"/>
          <w:szCs w:val="24"/>
        </w:rPr>
        <w:t>在做出投资决策前详阅基金合同、招募说明书（更新）、基金产品资料概要（更新）等法律文件</w:t>
      </w:r>
      <w:r w:rsidR="00332B94">
        <w:rPr>
          <w:rFonts w:ascii="Times" w:hAnsi="Times" w:cs="宋体" w:hint="eastAsia"/>
          <w:color w:val="000000"/>
          <w:spacing w:val="3"/>
          <w:kern w:val="0"/>
          <w:sz w:val="24"/>
          <w:szCs w:val="24"/>
        </w:rPr>
        <w:t>，</w:t>
      </w:r>
      <w:r w:rsidR="000F52A7" w:rsidRPr="002E451D">
        <w:rPr>
          <w:rFonts w:ascii="Times" w:hAnsi="Times" w:cs="宋体" w:hint="eastAsia"/>
          <w:color w:val="000000"/>
          <w:spacing w:val="3"/>
          <w:kern w:val="0"/>
          <w:sz w:val="24"/>
          <w:szCs w:val="24"/>
        </w:rPr>
        <w:t>以及过往的基金定期报告等相关信息，以充分了解各基金产品的风险收益特征。</w:t>
      </w:r>
    </w:p>
    <w:p w:rsidR="0052385A" w:rsidRDefault="0052385A" w:rsidP="002E451D">
      <w:pPr>
        <w:widowControl/>
        <w:shd w:val="clear" w:color="auto" w:fill="FFFFFF"/>
        <w:spacing w:line="360" w:lineRule="auto"/>
        <w:ind w:firstLineChars="200" w:firstLine="492"/>
        <w:rPr>
          <w:rFonts w:ascii="Times" w:hAnsi="Times" w:cs="宋体"/>
          <w:bCs/>
          <w:color w:val="000000"/>
          <w:spacing w:val="3"/>
          <w:kern w:val="0"/>
          <w:sz w:val="24"/>
          <w:szCs w:val="24"/>
        </w:rPr>
      </w:pPr>
      <w:r w:rsidRPr="002E451D">
        <w:rPr>
          <w:rFonts w:ascii="Times" w:hAnsi="Times" w:cs="宋体" w:hint="eastAsia"/>
          <w:color w:val="000000"/>
          <w:spacing w:val="3"/>
          <w:kern w:val="0"/>
          <w:sz w:val="24"/>
          <w:szCs w:val="24"/>
        </w:rPr>
        <w:t>4</w:t>
      </w:r>
      <w:r w:rsidRPr="002E451D">
        <w:rPr>
          <w:rFonts w:ascii="Times" w:hAnsi="Times" w:cs="宋体" w:hint="eastAsia"/>
          <w:color w:val="000000"/>
          <w:spacing w:val="3"/>
          <w:kern w:val="0"/>
          <w:sz w:val="24"/>
          <w:szCs w:val="24"/>
        </w:rPr>
        <w:t>、如有疑问，</w:t>
      </w:r>
      <w:r w:rsidRPr="002E451D">
        <w:rPr>
          <w:rFonts w:ascii="Times" w:hAnsi="Times" w:cs="宋体" w:hint="eastAsia"/>
          <w:bCs/>
          <w:color w:val="000000"/>
          <w:spacing w:val="3"/>
          <w:kern w:val="0"/>
          <w:sz w:val="24"/>
          <w:szCs w:val="24"/>
        </w:rPr>
        <w:t>投资者可以登</w:t>
      </w:r>
      <w:r w:rsidR="00332B94">
        <w:rPr>
          <w:rFonts w:ascii="Times" w:hAnsi="Times" w:cs="宋体" w:hint="eastAsia"/>
          <w:bCs/>
          <w:color w:val="000000"/>
          <w:spacing w:val="3"/>
          <w:kern w:val="0"/>
          <w:sz w:val="24"/>
          <w:szCs w:val="24"/>
        </w:rPr>
        <w:t>录</w:t>
      </w:r>
      <w:r w:rsidRPr="002E451D">
        <w:rPr>
          <w:rFonts w:ascii="Times" w:hAnsi="Times" w:cs="宋体" w:hint="eastAsia"/>
          <w:bCs/>
          <w:color w:val="000000"/>
          <w:spacing w:val="3"/>
          <w:kern w:val="0"/>
          <w:sz w:val="24"/>
          <w:szCs w:val="24"/>
        </w:rPr>
        <w:t>海富通基金管理有限公司网站</w:t>
      </w:r>
      <w:r w:rsidRPr="002E451D">
        <w:rPr>
          <w:rFonts w:ascii="Times" w:hAnsi="Times" w:cs="宋体"/>
          <w:bCs/>
          <w:color w:val="000000"/>
          <w:spacing w:val="3"/>
          <w:kern w:val="0"/>
          <w:sz w:val="24"/>
          <w:szCs w:val="24"/>
        </w:rPr>
        <w:t>www.hftfund.com</w:t>
      </w:r>
      <w:r w:rsidRPr="002E451D">
        <w:rPr>
          <w:rFonts w:ascii="Times" w:hAnsi="Times" w:cs="宋体" w:hint="eastAsia"/>
          <w:bCs/>
          <w:color w:val="000000"/>
          <w:spacing w:val="3"/>
          <w:kern w:val="0"/>
          <w:sz w:val="24"/>
          <w:szCs w:val="24"/>
        </w:rPr>
        <w:t>查阅，或拨打海富通基金管理有限公司客户服务热线</w:t>
      </w:r>
      <w:r w:rsidRPr="002E451D">
        <w:rPr>
          <w:rFonts w:ascii="Times" w:hAnsi="Times" w:cs="宋体" w:hint="eastAsia"/>
          <w:bCs/>
          <w:color w:val="000000"/>
          <w:spacing w:val="3"/>
          <w:kern w:val="0"/>
          <w:sz w:val="24"/>
          <w:szCs w:val="24"/>
        </w:rPr>
        <w:t xml:space="preserve"> </w:t>
      </w:r>
      <w:r w:rsidRPr="002E451D">
        <w:rPr>
          <w:rFonts w:ascii="Times" w:hAnsi="Times" w:cs="宋体"/>
          <w:color w:val="000000"/>
          <w:spacing w:val="3"/>
          <w:kern w:val="0"/>
          <w:sz w:val="24"/>
          <w:szCs w:val="24"/>
        </w:rPr>
        <w:t>40088-40099</w:t>
      </w:r>
      <w:r w:rsidRPr="002E451D">
        <w:rPr>
          <w:rFonts w:ascii="Times" w:hAnsi="Times" w:cs="宋体"/>
          <w:color w:val="000000"/>
          <w:spacing w:val="3"/>
          <w:kern w:val="0"/>
          <w:sz w:val="24"/>
          <w:szCs w:val="24"/>
        </w:rPr>
        <w:t>（免长途通话费用）</w:t>
      </w:r>
      <w:r w:rsidRPr="002E451D">
        <w:rPr>
          <w:rFonts w:ascii="Times" w:hAnsi="Times" w:cs="宋体" w:hint="eastAsia"/>
          <w:bCs/>
          <w:color w:val="000000"/>
          <w:spacing w:val="3"/>
          <w:kern w:val="0"/>
          <w:sz w:val="24"/>
          <w:szCs w:val="24"/>
        </w:rPr>
        <w:t>进行相关咨询。</w:t>
      </w:r>
    </w:p>
    <w:p w:rsidR="002E451D" w:rsidRPr="002E451D" w:rsidRDefault="002E451D" w:rsidP="002E451D">
      <w:pPr>
        <w:widowControl/>
        <w:shd w:val="clear" w:color="auto" w:fill="FFFFFF"/>
        <w:spacing w:line="360" w:lineRule="auto"/>
        <w:ind w:firstLineChars="200" w:firstLine="492"/>
        <w:rPr>
          <w:rFonts w:ascii="Times" w:hAnsi="Times" w:cs="宋体"/>
          <w:color w:val="000000"/>
          <w:spacing w:val="3"/>
          <w:kern w:val="0"/>
          <w:sz w:val="24"/>
          <w:szCs w:val="24"/>
        </w:rPr>
      </w:pPr>
    </w:p>
    <w:p w:rsidR="009021F9" w:rsidRPr="002E451D" w:rsidRDefault="000F52A7" w:rsidP="002E451D">
      <w:pPr>
        <w:widowControl/>
        <w:shd w:val="clear" w:color="auto" w:fill="FFFFFF"/>
        <w:spacing w:line="360" w:lineRule="auto"/>
        <w:ind w:firstLine="480"/>
        <w:rPr>
          <w:rFonts w:ascii="Times" w:hAnsi="Times" w:cs="宋体"/>
          <w:color w:val="999999"/>
          <w:spacing w:val="3"/>
          <w:kern w:val="0"/>
          <w:sz w:val="24"/>
          <w:szCs w:val="24"/>
        </w:rPr>
      </w:pPr>
      <w:r w:rsidRPr="002E451D">
        <w:rPr>
          <w:rFonts w:ascii="Times" w:hAnsi="Times" w:cs="宋体" w:hint="eastAsia"/>
          <w:color w:val="000000"/>
          <w:spacing w:val="3"/>
          <w:kern w:val="0"/>
          <w:sz w:val="24"/>
          <w:szCs w:val="24"/>
        </w:rPr>
        <w:t>特此公告。</w:t>
      </w:r>
    </w:p>
    <w:p w:rsidR="009021F9" w:rsidRDefault="009021F9" w:rsidP="002E451D">
      <w:pPr>
        <w:widowControl/>
        <w:shd w:val="clear" w:color="auto" w:fill="FFFFFF"/>
        <w:spacing w:line="360" w:lineRule="auto"/>
        <w:ind w:firstLine="480"/>
        <w:rPr>
          <w:rFonts w:ascii="Times" w:hAnsi="Times" w:cs="宋体"/>
          <w:color w:val="999999"/>
          <w:spacing w:val="3"/>
          <w:kern w:val="0"/>
          <w:sz w:val="24"/>
          <w:szCs w:val="24"/>
        </w:rPr>
      </w:pPr>
    </w:p>
    <w:p w:rsidR="002E451D" w:rsidRPr="002E451D" w:rsidRDefault="002E451D" w:rsidP="002E451D">
      <w:pPr>
        <w:widowControl/>
        <w:shd w:val="clear" w:color="auto" w:fill="FFFFFF"/>
        <w:spacing w:line="360" w:lineRule="auto"/>
        <w:ind w:firstLine="480"/>
        <w:rPr>
          <w:rFonts w:ascii="Times" w:hAnsi="Times" w:cs="宋体"/>
          <w:color w:val="999999"/>
          <w:spacing w:val="3"/>
          <w:kern w:val="0"/>
          <w:sz w:val="24"/>
          <w:szCs w:val="24"/>
        </w:rPr>
      </w:pPr>
    </w:p>
    <w:p w:rsidR="009021F9" w:rsidRPr="002E451D" w:rsidRDefault="000F52A7" w:rsidP="002E451D">
      <w:pPr>
        <w:widowControl/>
        <w:shd w:val="clear" w:color="auto" w:fill="FFFFFF"/>
        <w:spacing w:line="360" w:lineRule="auto"/>
        <w:ind w:firstLine="480"/>
        <w:jc w:val="right"/>
        <w:rPr>
          <w:rFonts w:ascii="Times" w:hAnsi="Times" w:cs="宋体"/>
          <w:color w:val="999999"/>
          <w:spacing w:val="3"/>
          <w:kern w:val="0"/>
          <w:sz w:val="24"/>
          <w:szCs w:val="24"/>
        </w:rPr>
      </w:pPr>
      <w:r w:rsidRPr="002E451D">
        <w:rPr>
          <w:rFonts w:ascii="Times" w:hAnsi="Times" w:cs="宋体"/>
          <w:color w:val="000000"/>
          <w:spacing w:val="3"/>
          <w:kern w:val="0"/>
          <w:sz w:val="24"/>
          <w:szCs w:val="24"/>
        </w:rPr>
        <w:t>海富通基金管理有限公司</w:t>
      </w:r>
    </w:p>
    <w:p w:rsidR="009021F9" w:rsidRPr="002E451D" w:rsidRDefault="000F52A7" w:rsidP="002E451D">
      <w:pPr>
        <w:widowControl/>
        <w:shd w:val="clear" w:color="auto" w:fill="FFFFFF"/>
        <w:spacing w:line="360" w:lineRule="auto"/>
        <w:ind w:firstLine="480"/>
        <w:jc w:val="right"/>
        <w:rPr>
          <w:rFonts w:ascii="Times" w:hAnsi="Times"/>
        </w:rPr>
      </w:pPr>
      <w:r w:rsidRPr="002E451D">
        <w:rPr>
          <w:rFonts w:ascii="Times" w:hAnsi="Times" w:cs="宋体"/>
          <w:color w:val="000000"/>
          <w:spacing w:val="3"/>
          <w:kern w:val="0"/>
          <w:sz w:val="24"/>
          <w:szCs w:val="24"/>
        </w:rPr>
        <w:t>20</w:t>
      </w:r>
      <w:r w:rsidRPr="002E451D">
        <w:rPr>
          <w:rFonts w:ascii="Times" w:hAnsi="Times" w:cs="宋体" w:hint="eastAsia"/>
          <w:color w:val="000000"/>
          <w:spacing w:val="3"/>
          <w:kern w:val="0"/>
          <w:sz w:val="24"/>
          <w:szCs w:val="24"/>
        </w:rPr>
        <w:t>2</w:t>
      </w:r>
      <w:r w:rsidR="0052385A" w:rsidRPr="002E451D">
        <w:rPr>
          <w:rFonts w:ascii="Times" w:hAnsi="Times" w:cs="宋体" w:hint="eastAsia"/>
          <w:color w:val="000000"/>
          <w:spacing w:val="3"/>
          <w:kern w:val="0"/>
          <w:sz w:val="24"/>
          <w:szCs w:val="24"/>
        </w:rPr>
        <w:t>5</w:t>
      </w:r>
      <w:r w:rsidRPr="002E451D">
        <w:rPr>
          <w:rFonts w:ascii="Times" w:hAnsi="Times" w:cs="宋体"/>
          <w:color w:val="000000"/>
          <w:spacing w:val="3"/>
          <w:kern w:val="0"/>
          <w:sz w:val="24"/>
          <w:szCs w:val="24"/>
        </w:rPr>
        <w:t>年</w:t>
      </w:r>
      <w:r w:rsidR="0052385A" w:rsidRPr="002E451D">
        <w:rPr>
          <w:rFonts w:ascii="Times" w:hAnsi="Times" w:cs="宋体" w:hint="eastAsia"/>
          <w:color w:val="000000"/>
          <w:spacing w:val="3"/>
          <w:kern w:val="0"/>
          <w:sz w:val="24"/>
          <w:szCs w:val="24"/>
        </w:rPr>
        <w:t>12</w:t>
      </w:r>
      <w:r w:rsidRPr="002E451D">
        <w:rPr>
          <w:rFonts w:ascii="Times" w:hAnsi="Times" w:cs="宋体"/>
          <w:color w:val="000000"/>
          <w:spacing w:val="3"/>
          <w:kern w:val="0"/>
          <w:sz w:val="24"/>
          <w:szCs w:val="24"/>
        </w:rPr>
        <w:t>月</w:t>
      </w:r>
      <w:r w:rsidR="0052385A" w:rsidRPr="002E451D">
        <w:rPr>
          <w:rFonts w:ascii="Times" w:hAnsi="Times" w:cs="宋体" w:hint="eastAsia"/>
          <w:color w:val="000000"/>
          <w:spacing w:val="3"/>
          <w:kern w:val="0"/>
          <w:sz w:val="24"/>
          <w:szCs w:val="24"/>
        </w:rPr>
        <w:t>26</w:t>
      </w:r>
      <w:r w:rsidRPr="002E451D">
        <w:rPr>
          <w:rFonts w:ascii="Times" w:hAnsi="Times" w:cs="宋体"/>
          <w:color w:val="000000"/>
          <w:spacing w:val="3"/>
          <w:kern w:val="0"/>
          <w:sz w:val="24"/>
          <w:szCs w:val="24"/>
        </w:rPr>
        <w:t>日</w:t>
      </w:r>
    </w:p>
    <w:sectPr w:rsidR="009021F9" w:rsidRPr="002E451D" w:rsidSect="00571A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E8E" w:rsidRDefault="005C0E8E"/>
  </w:endnote>
  <w:endnote w:type="continuationSeparator" w:id="0">
    <w:p w:rsidR="005C0E8E" w:rsidRDefault="005C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468469"/>
      <w:docPartObj>
        <w:docPartGallery w:val="Page Numbers (Bottom of Page)"/>
        <w:docPartUnique/>
      </w:docPartObj>
    </w:sdtPr>
    <w:sdtEndPr>
      <w:rPr>
        <w:rFonts w:ascii="宋体" w:eastAsia="宋体" w:hAnsi="宋体"/>
      </w:rPr>
    </w:sdtEndPr>
    <w:sdtContent>
      <w:p w:rsidR="0052385A" w:rsidRPr="0052385A" w:rsidRDefault="00571AF6">
        <w:pPr>
          <w:pStyle w:val="aa"/>
          <w:jc w:val="center"/>
          <w:rPr>
            <w:rFonts w:ascii="宋体" w:eastAsia="宋体" w:hAnsi="宋体"/>
          </w:rPr>
        </w:pPr>
        <w:r w:rsidRPr="0052385A">
          <w:rPr>
            <w:rFonts w:ascii="宋体" w:eastAsia="宋体" w:hAnsi="宋体"/>
          </w:rPr>
          <w:fldChar w:fldCharType="begin"/>
        </w:r>
        <w:r w:rsidR="0052385A" w:rsidRPr="0052385A">
          <w:rPr>
            <w:rFonts w:ascii="宋体" w:eastAsia="宋体" w:hAnsi="宋体"/>
          </w:rPr>
          <w:instrText>PAGE   \* MERGEFORMAT</w:instrText>
        </w:r>
        <w:r w:rsidRPr="0052385A">
          <w:rPr>
            <w:rFonts w:ascii="宋体" w:eastAsia="宋体" w:hAnsi="宋体"/>
          </w:rPr>
          <w:fldChar w:fldCharType="separate"/>
        </w:r>
        <w:r w:rsidR="00197C36" w:rsidRPr="00197C36">
          <w:rPr>
            <w:rFonts w:ascii="宋体" w:eastAsia="宋体" w:hAnsi="宋体"/>
            <w:noProof/>
            <w:lang w:val="zh-CN"/>
          </w:rPr>
          <w:t>1</w:t>
        </w:r>
        <w:r w:rsidRPr="0052385A">
          <w:rPr>
            <w:rFonts w:ascii="宋体" w:eastAsia="宋体" w:hAnsi="宋体"/>
          </w:rPr>
          <w:fldChar w:fldCharType="end"/>
        </w:r>
      </w:p>
    </w:sdtContent>
  </w:sdt>
  <w:p w:rsidR="0052385A" w:rsidRDefault="0052385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E8E" w:rsidRDefault="005C0E8E"/>
  </w:footnote>
  <w:footnote w:type="continuationSeparator" w:id="0">
    <w:p w:rsidR="005C0E8E" w:rsidRDefault="005C0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673"/>
    <w:rsid w:val="0003754D"/>
    <w:rsid w:val="00064D2E"/>
    <w:rsid w:val="00076218"/>
    <w:rsid w:val="000C41BB"/>
    <w:rsid w:val="000D01C0"/>
    <w:rsid w:val="000F52A7"/>
    <w:rsid w:val="00140E7F"/>
    <w:rsid w:val="00177963"/>
    <w:rsid w:val="00197C36"/>
    <w:rsid w:val="001E52D2"/>
    <w:rsid w:val="002073C8"/>
    <w:rsid w:val="002E451D"/>
    <w:rsid w:val="002F435B"/>
    <w:rsid w:val="00314234"/>
    <w:rsid w:val="0032245B"/>
    <w:rsid w:val="00332B94"/>
    <w:rsid w:val="003A5E9C"/>
    <w:rsid w:val="004733E4"/>
    <w:rsid w:val="004B0460"/>
    <w:rsid w:val="0052385A"/>
    <w:rsid w:val="0052643D"/>
    <w:rsid w:val="00565673"/>
    <w:rsid w:val="00571AF6"/>
    <w:rsid w:val="005724CC"/>
    <w:rsid w:val="005B7C6F"/>
    <w:rsid w:val="005C0E8E"/>
    <w:rsid w:val="00652CC1"/>
    <w:rsid w:val="00672052"/>
    <w:rsid w:val="00691D12"/>
    <w:rsid w:val="006C1A98"/>
    <w:rsid w:val="006F52F2"/>
    <w:rsid w:val="00727CA7"/>
    <w:rsid w:val="00772C2D"/>
    <w:rsid w:val="007776EF"/>
    <w:rsid w:val="00787367"/>
    <w:rsid w:val="00854DDE"/>
    <w:rsid w:val="008C51D5"/>
    <w:rsid w:val="008E6C65"/>
    <w:rsid w:val="009021F9"/>
    <w:rsid w:val="00923D91"/>
    <w:rsid w:val="009F1F66"/>
    <w:rsid w:val="009F5229"/>
    <w:rsid w:val="00A32622"/>
    <w:rsid w:val="00A714FA"/>
    <w:rsid w:val="00B3137D"/>
    <w:rsid w:val="00B65B16"/>
    <w:rsid w:val="00BA13BD"/>
    <w:rsid w:val="00BE01BA"/>
    <w:rsid w:val="00BE40CF"/>
    <w:rsid w:val="00C72B75"/>
    <w:rsid w:val="00D10A8B"/>
    <w:rsid w:val="00D220CF"/>
    <w:rsid w:val="00DB0E4C"/>
    <w:rsid w:val="00DD620E"/>
    <w:rsid w:val="00E013C3"/>
    <w:rsid w:val="00E113C5"/>
    <w:rsid w:val="00E37922"/>
    <w:rsid w:val="00E47545"/>
    <w:rsid w:val="00E84C83"/>
    <w:rsid w:val="00F05013"/>
    <w:rsid w:val="00F80F7B"/>
    <w:rsid w:val="00FC4F06"/>
    <w:rsid w:val="1AA274B6"/>
    <w:rsid w:val="36526584"/>
    <w:rsid w:val="3BFB3017"/>
    <w:rsid w:val="723D5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A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71AF6"/>
    <w:pPr>
      <w:jc w:val="left"/>
    </w:pPr>
  </w:style>
  <w:style w:type="paragraph" w:styleId="a4">
    <w:name w:val="Balloon Text"/>
    <w:basedOn w:val="a"/>
    <w:link w:val="Char0"/>
    <w:uiPriority w:val="99"/>
    <w:semiHidden/>
    <w:unhideWhenUsed/>
    <w:qFormat/>
    <w:rsid w:val="00571AF6"/>
    <w:rPr>
      <w:sz w:val="18"/>
      <w:szCs w:val="18"/>
    </w:rPr>
  </w:style>
  <w:style w:type="table" w:styleId="a5">
    <w:name w:val="Table Grid"/>
    <w:basedOn w:val="a1"/>
    <w:uiPriority w:val="59"/>
    <w:qFormat/>
    <w:rsid w:val="00571A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qFormat/>
    <w:rsid w:val="00571AF6"/>
    <w:rPr>
      <w:color w:val="333333"/>
      <w:sz w:val="18"/>
      <w:szCs w:val="18"/>
      <w:u w:val="none"/>
    </w:rPr>
  </w:style>
  <w:style w:type="character" w:customStyle="1" w:styleId="Char0">
    <w:name w:val="批注框文本 Char"/>
    <w:basedOn w:val="a0"/>
    <w:link w:val="a4"/>
    <w:uiPriority w:val="99"/>
    <w:semiHidden/>
    <w:qFormat/>
    <w:rsid w:val="00571AF6"/>
    <w:rPr>
      <w:sz w:val="18"/>
      <w:szCs w:val="18"/>
    </w:rPr>
  </w:style>
  <w:style w:type="character" w:styleId="a7">
    <w:name w:val="annotation reference"/>
    <w:basedOn w:val="a0"/>
    <w:uiPriority w:val="99"/>
    <w:semiHidden/>
    <w:unhideWhenUsed/>
    <w:rsid w:val="00571AF6"/>
    <w:rPr>
      <w:sz w:val="21"/>
      <w:szCs w:val="21"/>
    </w:rPr>
  </w:style>
  <w:style w:type="paragraph" w:styleId="a8">
    <w:name w:val="annotation subject"/>
    <w:basedOn w:val="a3"/>
    <w:next w:val="a3"/>
    <w:link w:val="Char1"/>
    <w:uiPriority w:val="99"/>
    <w:semiHidden/>
    <w:unhideWhenUsed/>
    <w:rsid w:val="00B65B16"/>
    <w:rPr>
      <w:b/>
      <w:bCs/>
    </w:rPr>
  </w:style>
  <w:style w:type="character" w:customStyle="1" w:styleId="Char">
    <w:name w:val="批注文字 Char"/>
    <w:basedOn w:val="a0"/>
    <w:link w:val="a3"/>
    <w:uiPriority w:val="99"/>
    <w:rsid w:val="00B65B16"/>
    <w:rPr>
      <w:rFonts w:asciiTheme="minorHAnsi" w:eastAsiaTheme="minorEastAsia" w:hAnsiTheme="minorHAnsi" w:cstheme="minorBidi"/>
      <w:kern w:val="2"/>
      <w:sz w:val="21"/>
      <w:szCs w:val="22"/>
    </w:rPr>
  </w:style>
  <w:style w:type="character" w:customStyle="1" w:styleId="Char1">
    <w:name w:val="批注主题 Char"/>
    <w:basedOn w:val="Char"/>
    <w:link w:val="a8"/>
    <w:uiPriority w:val="99"/>
    <w:semiHidden/>
    <w:rsid w:val="00B65B16"/>
    <w:rPr>
      <w:rFonts w:asciiTheme="minorHAnsi" w:eastAsiaTheme="minorEastAsia" w:hAnsiTheme="minorHAnsi" w:cstheme="minorBidi"/>
      <w:b/>
      <w:bCs/>
      <w:kern w:val="2"/>
      <w:sz w:val="21"/>
      <w:szCs w:val="22"/>
    </w:rPr>
  </w:style>
  <w:style w:type="character" w:customStyle="1" w:styleId="fontstyle01">
    <w:name w:val="fontstyle01"/>
    <w:basedOn w:val="a0"/>
    <w:rsid w:val="00652CC1"/>
    <w:rPr>
      <w:rFonts w:ascii="宋体" w:eastAsia="宋体" w:hAnsi="宋体" w:hint="eastAsia"/>
      <w:b w:val="0"/>
      <w:bCs w:val="0"/>
      <w:i w:val="0"/>
      <w:iCs w:val="0"/>
      <w:color w:val="000000"/>
      <w:sz w:val="22"/>
      <w:szCs w:val="22"/>
    </w:rPr>
  </w:style>
  <w:style w:type="paragraph" w:styleId="a9">
    <w:name w:val="header"/>
    <w:basedOn w:val="a"/>
    <w:link w:val="Char2"/>
    <w:uiPriority w:val="99"/>
    <w:unhideWhenUsed/>
    <w:rsid w:val="0052385A"/>
    <w:pPr>
      <w:tabs>
        <w:tab w:val="center" w:pos="4153"/>
        <w:tab w:val="right" w:pos="8306"/>
      </w:tabs>
      <w:snapToGrid w:val="0"/>
      <w:jc w:val="center"/>
    </w:pPr>
    <w:rPr>
      <w:sz w:val="18"/>
      <w:szCs w:val="18"/>
    </w:rPr>
  </w:style>
  <w:style w:type="character" w:customStyle="1" w:styleId="Char2">
    <w:name w:val="页眉 Char"/>
    <w:basedOn w:val="a0"/>
    <w:link w:val="a9"/>
    <w:uiPriority w:val="99"/>
    <w:rsid w:val="0052385A"/>
    <w:rPr>
      <w:rFonts w:asciiTheme="minorHAnsi" w:eastAsiaTheme="minorEastAsia" w:hAnsiTheme="minorHAnsi" w:cstheme="minorBidi"/>
      <w:kern w:val="2"/>
      <w:sz w:val="18"/>
      <w:szCs w:val="18"/>
    </w:rPr>
  </w:style>
  <w:style w:type="paragraph" w:styleId="aa">
    <w:name w:val="footer"/>
    <w:basedOn w:val="a"/>
    <w:link w:val="Char3"/>
    <w:uiPriority w:val="99"/>
    <w:unhideWhenUsed/>
    <w:rsid w:val="0052385A"/>
    <w:pPr>
      <w:tabs>
        <w:tab w:val="center" w:pos="4153"/>
        <w:tab w:val="right" w:pos="8306"/>
      </w:tabs>
      <w:snapToGrid w:val="0"/>
      <w:jc w:val="left"/>
    </w:pPr>
    <w:rPr>
      <w:sz w:val="18"/>
      <w:szCs w:val="18"/>
    </w:rPr>
  </w:style>
  <w:style w:type="character" w:customStyle="1" w:styleId="Char3">
    <w:name w:val="页脚 Char"/>
    <w:basedOn w:val="a0"/>
    <w:link w:val="aa"/>
    <w:uiPriority w:val="99"/>
    <w:rsid w:val="0052385A"/>
    <w:rPr>
      <w:rFonts w:asciiTheme="minorHAnsi" w:eastAsiaTheme="minorEastAsia" w:hAnsiTheme="minorHAnsi" w:cstheme="minorBidi"/>
      <w:kern w:val="2"/>
      <w:sz w:val="18"/>
      <w:szCs w:val="18"/>
    </w:rPr>
  </w:style>
  <w:style w:type="paragraph" w:styleId="ab">
    <w:name w:val="Revision"/>
    <w:hidden/>
    <w:uiPriority w:val="99"/>
    <w:semiHidden/>
    <w:rsid w:val="00332B9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1833</Characters>
  <Application>Microsoft Office Word</Application>
  <DocSecurity>4</DocSecurity>
  <Lines>15</Lines>
  <Paragraphs>4</Paragraphs>
  <ScaleCrop>false</ScaleCrop>
  <Company>Microsoft</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leiwu</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