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FC" w:rsidRPr="00A43937" w:rsidRDefault="00594CBB" w:rsidP="004D1E52">
      <w:pPr>
        <w:pStyle w:val="Default"/>
        <w:spacing w:line="360" w:lineRule="auto"/>
        <w:jc w:val="center"/>
        <w:rPr>
          <w:rFonts w:hAnsi="宋体"/>
          <w:b/>
        </w:rPr>
      </w:pPr>
      <w:bookmarkStart w:id="0" w:name="_GoBack"/>
      <w:bookmarkEnd w:id="0"/>
      <w:r w:rsidRPr="00A43937">
        <w:rPr>
          <w:rFonts w:hAnsi="宋体" w:hint="eastAsia"/>
          <w:b/>
        </w:rPr>
        <w:t>国泰基金管理有限公司关于</w:t>
      </w:r>
      <w:r w:rsidR="00374F88" w:rsidRPr="00374F88">
        <w:rPr>
          <w:rFonts w:hAnsi="宋体" w:hint="eastAsia"/>
          <w:b/>
        </w:rPr>
        <w:t>国泰大宗商品配置证券投资基金（</w:t>
      </w:r>
      <w:r w:rsidR="00374F88" w:rsidRPr="00374F88">
        <w:rPr>
          <w:rFonts w:hAnsi="宋体"/>
          <w:b/>
        </w:rPr>
        <w:t>LOF）</w:t>
      </w:r>
      <w:r w:rsidR="00B56EC0">
        <w:rPr>
          <w:rFonts w:hAnsi="宋体" w:hint="eastAsia"/>
          <w:b/>
        </w:rPr>
        <w:t>A类基金份额</w:t>
      </w:r>
      <w:r w:rsidR="00035840">
        <w:rPr>
          <w:rFonts w:hAnsi="宋体" w:hint="eastAsia"/>
          <w:b/>
        </w:rPr>
        <w:t>场内</w:t>
      </w:r>
      <w:r w:rsidRPr="00A43937">
        <w:rPr>
          <w:rFonts w:hAnsi="宋体" w:hint="eastAsia"/>
          <w:b/>
        </w:rPr>
        <w:t>溢价风险提示公告</w:t>
      </w:r>
    </w:p>
    <w:p w:rsidR="00594CBB" w:rsidRPr="00594CBB" w:rsidRDefault="00594CBB" w:rsidP="00594CBB">
      <w:pPr>
        <w:pStyle w:val="Default"/>
        <w:rPr>
          <w:rFonts w:hAnsi="宋体"/>
        </w:rPr>
      </w:pPr>
    </w:p>
    <w:p w:rsidR="00CA28A4" w:rsidRDefault="00594CBB" w:rsidP="008D5124">
      <w:pPr>
        <w:pStyle w:val="Default"/>
        <w:spacing w:line="360" w:lineRule="auto"/>
        <w:ind w:firstLineChars="200" w:firstLine="480"/>
        <w:jc w:val="both"/>
        <w:rPr>
          <w:rFonts w:hAnsi="宋体"/>
        </w:rPr>
      </w:pPr>
      <w:r w:rsidRPr="00594CBB">
        <w:rPr>
          <w:rFonts w:hAnsi="宋体" w:hint="eastAsia"/>
        </w:rPr>
        <w:t>国泰基金管理有限公司（以下简称</w:t>
      </w:r>
      <w:r w:rsidRPr="00594CBB">
        <w:rPr>
          <w:rFonts w:hAnsi="宋体"/>
        </w:rPr>
        <w:t>“</w:t>
      </w:r>
      <w:r w:rsidRPr="00594CBB">
        <w:rPr>
          <w:rFonts w:hAnsi="宋体" w:hint="eastAsia"/>
        </w:rPr>
        <w:t>基金管理人</w:t>
      </w:r>
      <w:r w:rsidRPr="00594CBB">
        <w:rPr>
          <w:rFonts w:hAnsi="宋体"/>
        </w:rPr>
        <w:t>”</w:t>
      </w:r>
      <w:r w:rsidRPr="00594CBB">
        <w:rPr>
          <w:rFonts w:hAnsi="宋体" w:hint="eastAsia"/>
        </w:rPr>
        <w:t>）旗下</w:t>
      </w:r>
      <w:r w:rsidR="0091499D" w:rsidRPr="0091499D">
        <w:rPr>
          <w:rFonts w:hAnsi="宋体" w:hint="eastAsia"/>
          <w:b/>
        </w:rPr>
        <w:t>国泰大宗商品配置证券投资基金（</w:t>
      </w:r>
      <w:r w:rsidR="0091499D" w:rsidRPr="0091499D">
        <w:rPr>
          <w:rFonts w:hAnsi="宋体"/>
          <w:b/>
        </w:rPr>
        <w:t>LOF）</w:t>
      </w:r>
      <w:r w:rsidR="00B56EC0">
        <w:rPr>
          <w:rFonts w:hAnsi="宋体" w:hint="eastAsia"/>
          <w:b/>
        </w:rPr>
        <w:t>A类基金份额</w:t>
      </w:r>
      <w:r w:rsidRPr="00594CBB">
        <w:rPr>
          <w:rFonts w:hAnsi="宋体" w:hint="eastAsia"/>
        </w:rPr>
        <w:t>（场内简称：</w:t>
      </w:r>
      <w:r w:rsidR="0091499D">
        <w:rPr>
          <w:rFonts w:hAnsi="宋体" w:hint="eastAsia"/>
        </w:rPr>
        <w:t>国泰商品</w:t>
      </w:r>
      <w:r w:rsidR="00CC7E52" w:rsidRPr="00CC7E52">
        <w:rPr>
          <w:rFonts w:hAnsi="宋体"/>
        </w:rPr>
        <w:t>LOF</w:t>
      </w:r>
      <w:r w:rsidRPr="00594CBB">
        <w:rPr>
          <w:rFonts w:hAnsi="宋体" w:hint="eastAsia"/>
        </w:rPr>
        <w:t>，交易代码：</w:t>
      </w:r>
      <w:r w:rsidR="0091499D">
        <w:rPr>
          <w:rFonts w:hAnsi="宋体" w:cs="Times New Roman"/>
        </w:rPr>
        <w:t>160216</w:t>
      </w:r>
      <w:r w:rsidR="00035840">
        <w:rPr>
          <w:rFonts w:hAnsi="宋体" w:hint="eastAsia"/>
        </w:rPr>
        <w:t>；</w:t>
      </w:r>
      <w:r w:rsidRPr="00594CBB">
        <w:rPr>
          <w:rFonts w:hAnsi="宋体" w:hint="eastAsia"/>
        </w:rPr>
        <w:t>以下简称</w:t>
      </w:r>
      <w:r w:rsidRPr="00594CBB">
        <w:rPr>
          <w:rFonts w:hAnsi="宋体"/>
        </w:rPr>
        <w:t>“</w:t>
      </w:r>
      <w:r w:rsidRPr="00594CBB">
        <w:rPr>
          <w:rFonts w:hAnsi="宋体" w:hint="eastAsia"/>
        </w:rPr>
        <w:t>本基金</w:t>
      </w:r>
      <w:r w:rsidRPr="00594CBB">
        <w:rPr>
          <w:rFonts w:hAnsi="宋体"/>
        </w:rPr>
        <w:t>”</w:t>
      </w:r>
      <w:r w:rsidRPr="00594CBB">
        <w:rPr>
          <w:rFonts w:hAnsi="宋体" w:hint="eastAsia"/>
        </w:rPr>
        <w:t>）</w:t>
      </w:r>
      <w:r w:rsidR="00035840">
        <w:rPr>
          <w:rFonts w:hAnsi="宋体" w:hint="eastAsia"/>
        </w:rPr>
        <w:t>在</w:t>
      </w:r>
      <w:r w:rsidR="004D1E52">
        <w:rPr>
          <w:rFonts w:hAnsi="宋体" w:hint="eastAsia"/>
        </w:rPr>
        <w:t>深圳</w:t>
      </w:r>
      <w:r w:rsidR="00035840">
        <w:rPr>
          <w:rFonts w:hAnsi="宋体" w:hint="eastAsia"/>
        </w:rPr>
        <w:t>证券交易所上市交易。近期，本基金</w:t>
      </w:r>
      <w:r w:rsidRPr="00594CBB">
        <w:rPr>
          <w:rFonts w:hAnsi="宋体" w:hint="eastAsia"/>
        </w:rPr>
        <w:t>二级市场交易价格</w:t>
      </w:r>
      <w:r w:rsidR="00035840">
        <w:rPr>
          <w:rFonts w:hAnsi="宋体" w:hint="eastAsia"/>
        </w:rPr>
        <w:t>大幅波动，且场内交易价格较基金份额净值的溢价幅度较高。</w:t>
      </w:r>
      <w:r w:rsidR="002F59A4">
        <w:rPr>
          <w:rFonts w:hAnsi="宋体" w:hint="eastAsia"/>
        </w:rPr>
        <w:t>2</w:t>
      </w:r>
      <w:r w:rsidR="002F59A4">
        <w:rPr>
          <w:rFonts w:hAnsi="宋体"/>
        </w:rPr>
        <w:t>025</w:t>
      </w:r>
      <w:r w:rsidR="002F59A4">
        <w:rPr>
          <w:rFonts w:hAnsi="宋体" w:hint="eastAsia"/>
        </w:rPr>
        <w:t>年</w:t>
      </w:r>
      <w:r w:rsidR="008C16AA">
        <w:rPr>
          <w:rFonts w:hAnsi="宋体"/>
        </w:rPr>
        <w:t>12</w:t>
      </w:r>
      <w:r w:rsidR="00035840">
        <w:rPr>
          <w:rFonts w:hAnsi="宋体" w:hint="eastAsia"/>
        </w:rPr>
        <w:t>月</w:t>
      </w:r>
      <w:r w:rsidR="00824809">
        <w:rPr>
          <w:rFonts w:hAnsi="宋体"/>
        </w:rPr>
        <w:t>23</w:t>
      </w:r>
      <w:r w:rsidR="00035840">
        <w:rPr>
          <w:rFonts w:hAnsi="宋体" w:hint="eastAsia"/>
        </w:rPr>
        <w:t>日，本基金基金份额净值为</w:t>
      </w:r>
      <w:r w:rsidR="007E5F8A">
        <w:rPr>
          <w:rFonts w:hAnsi="宋体"/>
        </w:rPr>
        <w:t>0.681</w:t>
      </w:r>
      <w:r w:rsidR="00035840">
        <w:rPr>
          <w:rFonts w:hAnsi="宋体" w:hint="eastAsia"/>
        </w:rPr>
        <w:t>元；截</w:t>
      </w:r>
      <w:r w:rsidR="00314F04">
        <w:rPr>
          <w:rFonts w:hAnsi="宋体" w:hint="eastAsia"/>
        </w:rPr>
        <w:t>至</w:t>
      </w:r>
      <w:r w:rsidR="0091499D">
        <w:rPr>
          <w:rFonts w:hAnsi="宋体"/>
        </w:rPr>
        <w:t>2025</w:t>
      </w:r>
      <w:r w:rsidR="00035840">
        <w:rPr>
          <w:rFonts w:hAnsi="宋体" w:hint="eastAsia"/>
        </w:rPr>
        <w:t>年</w:t>
      </w:r>
      <w:r w:rsidR="008C16AA">
        <w:rPr>
          <w:rFonts w:hAnsi="宋体"/>
        </w:rPr>
        <w:t>12</w:t>
      </w:r>
      <w:r w:rsidR="00035840">
        <w:rPr>
          <w:rFonts w:hAnsi="宋体" w:hint="eastAsia"/>
        </w:rPr>
        <w:t>月</w:t>
      </w:r>
      <w:r w:rsidR="0091499D">
        <w:rPr>
          <w:rFonts w:hAnsi="宋体"/>
        </w:rPr>
        <w:t>2</w:t>
      </w:r>
      <w:r w:rsidR="00824809">
        <w:rPr>
          <w:rFonts w:hAnsi="宋体"/>
        </w:rPr>
        <w:t>5</w:t>
      </w:r>
      <w:r w:rsidR="00035840">
        <w:rPr>
          <w:rFonts w:hAnsi="宋体" w:hint="eastAsia"/>
        </w:rPr>
        <w:t>日，本基金在二级市场的收盘价为</w:t>
      </w:r>
      <w:r w:rsidR="00824809">
        <w:rPr>
          <w:rFonts w:hAnsi="宋体"/>
        </w:rPr>
        <w:t>0.786</w:t>
      </w:r>
      <w:r w:rsidR="00035840">
        <w:rPr>
          <w:rFonts w:hAnsi="宋体" w:hint="eastAsia"/>
        </w:rPr>
        <w:t>元。</w:t>
      </w:r>
      <w:r w:rsidRPr="00594CBB">
        <w:rPr>
          <w:rFonts w:hAnsi="宋体" w:hint="eastAsia"/>
          <w:b/>
        </w:rPr>
        <w:t>特此提示投资者关</w:t>
      </w:r>
      <w:r w:rsidR="00035840">
        <w:rPr>
          <w:rFonts w:hAnsi="宋体" w:hint="eastAsia"/>
          <w:b/>
        </w:rPr>
        <w:t>注二级市场交易价格溢价风险，投资者如果高溢价买入，可能面临损失。</w:t>
      </w:r>
      <w:r w:rsidR="00CA28A4" w:rsidRPr="00AB2A66">
        <w:rPr>
          <w:rFonts w:hAnsi="宋体" w:hint="eastAsia"/>
        </w:rPr>
        <w:t>若本基金在公告日当日二级市场交易价格溢价幅度未有效回落，</w:t>
      </w:r>
      <w:r w:rsidR="008D5124" w:rsidRPr="00691A2E">
        <w:rPr>
          <w:rFonts w:hAnsi="宋体" w:hint="eastAsia"/>
        </w:rPr>
        <w:t>本基金有权</w:t>
      </w:r>
      <w:r w:rsidR="008D5124">
        <w:rPr>
          <w:rFonts w:hAnsi="宋体" w:hint="eastAsia"/>
        </w:rPr>
        <w:t>采取</w:t>
      </w:r>
      <w:r w:rsidR="008D5124" w:rsidRPr="00691A2E">
        <w:rPr>
          <w:rFonts w:hAnsi="宋体" w:hint="eastAsia"/>
        </w:rPr>
        <w:t>向深圳证券交易所申请</w:t>
      </w:r>
      <w:r w:rsidR="008D5124">
        <w:rPr>
          <w:rFonts w:hAnsi="宋体" w:hint="eastAsia"/>
        </w:rPr>
        <w:t>盘中临时停牌</w:t>
      </w:r>
      <w:r w:rsidR="008D5124" w:rsidRPr="00691A2E">
        <w:rPr>
          <w:rFonts w:hAnsi="宋体" w:hint="eastAsia"/>
        </w:rPr>
        <w:t>、延长停牌时间等措施</w:t>
      </w:r>
      <w:r w:rsidR="008D5124">
        <w:rPr>
          <w:rFonts w:hAnsi="宋体" w:hint="eastAsia"/>
        </w:rPr>
        <w:t>以</w:t>
      </w:r>
      <w:r w:rsidR="008D5124" w:rsidRPr="00691A2E">
        <w:rPr>
          <w:rFonts w:hAnsi="宋体" w:hint="eastAsia"/>
        </w:rPr>
        <w:t>向市场警示风险，具体以届时公告为准。</w:t>
      </w:r>
    </w:p>
    <w:p w:rsidR="005F0E85" w:rsidRPr="008D5124" w:rsidRDefault="005F0E85" w:rsidP="008D5124">
      <w:pPr>
        <w:pStyle w:val="Default"/>
        <w:spacing w:line="360" w:lineRule="auto"/>
        <w:ind w:firstLineChars="200" w:firstLine="482"/>
        <w:jc w:val="both"/>
        <w:rPr>
          <w:rFonts w:hAnsi="宋体"/>
          <w:b/>
        </w:rPr>
      </w:pPr>
    </w:p>
    <w:p w:rsidR="00113904" w:rsidRDefault="008D5124" w:rsidP="00113904">
      <w:pPr>
        <w:pStyle w:val="Default"/>
        <w:spacing w:line="360" w:lineRule="auto"/>
        <w:ind w:firstLineChars="200" w:firstLine="480"/>
        <w:jc w:val="both"/>
        <w:rPr>
          <w:rFonts w:hAnsi="宋体"/>
        </w:rPr>
      </w:pPr>
      <w:r>
        <w:rPr>
          <w:rFonts w:hAnsi="宋体" w:hint="eastAsia"/>
        </w:rPr>
        <w:t>现特向投资者</w:t>
      </w:r>
      <w:r w:rsidR="00035840" w:rsidRPr="00035840">
        <w:rPr>
          <w:rFonts w:hAnsi="宋体" w:hint="eastAsia"/>
        </w:rPr>
        <w:t>提示如下</w:t>
      </w:r>
      <w:r w:rsidR="00594CBB" w:rsidRPr="00035840">
        <w:rPr>
          <w:rFonts w:hAnsi="宋体" w:hint="eastAsia"/>
        </w:rPr>
        <w:t>：</w:t>
      </w:r>
    </w:p>
    <w:p w:rsidR="00113904" w:rsidRDefault="00113904" w:rsidP="00113904">
      <w:pPr>
        <w:pStyle w:val="Default"/>
        <w:spacing w:line="360" w:lineRule="auto"/>
        <w:ind w:firstLineChars="200" w:firstLine="480"/>
        <w:jc w:val="both"/>
        <w:rPr>
          <w:rFonts w:hAnsi="宋体"/>
        </w:rPr>
      </w:pPr>
      <w:r>
        <w:rPr>
          <w:rFonts w:hAnsi="宋体"/>
        </w:rPr>
        <w:t>1</w:t>
      </w:r>
      <w:r>
        <w:rPr>
          <w:rFonts w:hAnsi="宋体" w:hint="eastAsia"/>
        </w:rPr>
        <w:t>、</w:t>
      </w:r>
      <w:r w:rsidR="00594CBB" w:rsidRPr="00594CBB">
        <w:rPr>
          <w:rFonts w:hAnsi="宋体" w:hint="eastAsia"/>
        </w:rPr>
        <w:t>本基金为</w:t>
      </w:r>
      <w:r w:rsidR="005C3CAD">
        <w:rPr>
          <w:rFonts w:hAnsi="宋体" w:hint="eastAsia"/>
        </w:rPr>
        <w:t>上市</w:t>
      </w:r>
      <w:r w:rsidR="00594CBB" w:rsidRPr="00594CBB">
        <w:rPr>
          <w:rFonts w:hAnsi="宋体" w:hint="eastAsia"/>
        </w:rPr>
        <w:t>开</w:t>
      </w:r>
      <w:r>
        <w:rPr>
          <w:rFonts w:hAnsi="宋体" w:hint="eastAsia"/>
        </w:rPr>
        <w:t>放式基金，投资者可在二级市场交易本基金，也可以申购、赎回本基金，申购、赎回价格以有效申请日收市后计算的基金份额净值进行计算，投资者可通过基金管理人网站、证监会信息披露平台或交易行情系统查询本基金的最新份额净值。</w:t>
      </w:r>
    </w:p>
    <w:p w:rsidR="00035840" w:rsidRDefault="00035840" w:rsidP="00C6160B">
      <w:pPr>
        <w:pStyle w:val="Default"/>
        <w:spacing w:line="360" w:lineRule="auto"/>
        <w:ind w:firstLineChars="200" w:firstLine="480"/>
        <w:jc w:val="both"/>
        <w:rPr>
          <w:rFonts w:hAnsi="宋体"/>
        </w:rPr>
      </w:pPr>
      <w:r>
        <w:rPr>
          <w:rFonts w:hAnsi="宋体" w:hint="eastAsia"/>
        </w:rPr>
        <w:t>2、</w:t>
      </w:r>
      <w:r w:rsidR="00594CBB" w:rsidRPr="00594CBB">
        <w:rPr>
          <w:rFonts w:hAnsi="宋体" w:hint="eastAsia"/>
        </w:rPr>
        <w:t>截至目前，</w:t>
      </w:r>
      <w:r>
        <w:rPr>
          <w:rFonts w:hAnsi="宋体" w:hint="eastAsia"/>
        </w:rPr>
        <w:t>本基金运作正常。本基金管理人仍将严格按照法律法规及基金合同的相关规定进行投资操作。</w:t>
      </w:r>
    </w:p>
    <w:p w:rsidR="00594CBB" w:rsidRDefault="00035840" w:rsidP="00035840">
      <w:pPr>
        <w:pStyle w:val="Default"/>
        <w:spacing w:line="360" w:lineRule="auto"/>
        <w:ind w:firstLineChars="200" w:firstLine="480"/>
        <w:jc w:val="both"/>
        <w:rPr>
          <w:rFonts w:hAnsi="宋体"/>
        </w:rPr>
      </w:pPr>
      <w:r>
        <w:rPr>
          <w:rFonts w:hAnsi="宋体" w:hint="eastAsia"/>
        </w:rPr>
        <w:t>3、截止目前，本基金</w:t>
      </w:r>
      <w:r w:rsidR="00594CBB" w:rsidRPr="00594CBB">
        <w:rPr>
          <w:rFonts w:hAnsi="宋体" w:hint="eastAsia"/>
        </w:rPr>
        <w:t>无</w:t>
      </w:r>
      <w:r>
        <w:rPr>
          <w:rFonts w:hAnsi="宋体" w:hint="eastAsia"/>
        </w:rPr>
        <w:t>其他应披露而未披露的重大信息。本基金管理人将严格按照法律法规及基金合同</w:t>
      </w:r>
      <w:r w:rsidR="00594CBB" w:rsidRPr="00594CBB">
        <w:rPr>
          <w:rFonts w:hAnsi="宋体" w:hint="eastAsia"/>
        </w:rPr>
        <w:t>履行信息披露义务。</w:t>
      </w:r>
    </w:p>
    <w:p w:rsidR="00035840" w:rsidRPr="00035840" w:rsidRDefault="00035840" w:rsidP="00035840">
      <w:pPr>
        <w:pStyle w:val="Default"/>
        <w:spacing w:line="360" w:lineRule="auto"/>
        <w:ind w:firstLineChars="200" w:firstLine="480"/>
        <w:jc w:val="both"/>
        <w:rPr>
          <w:rFonts w:hAnsi="宋体"/>
        </w:rPr>
      </w:pPr>
      <w:r>
        <w:rPr>
          <w:rFonts w:hAnsi="宋体"/>
        </w:rPr>
        <w:t>4</w:t>
      </w:r>
      <w:r>
        <w:rPr>
          <w:rFonts w:hAnsi="宋体" w:hint="eastAsia"/>
        </w:rPr>
        <w:t>、本基金二级市场的交易价格，除了有基金份额净值波动的风险外，还会受到市场供求关系、系统性风险、流动性风险等其他因素的影响，请投资者关注二级市场溢价风险，二级市场的溢价购买会让投资者除了承担传统的市场风险外，还</w:t>
      </w:r>
      <w:r w:rsidR="00665CA0">
        <w:rPr>
          <w:rFonts w:hAnsi="宋体" w:hint="eastAsia"/>
        </w:rPr>
        <w:t>将</w:t>
      </w:r>
      <w:r>
        <w:rPr>
          <w:rFonts w:hAnsi="宋体" w:hint="eastAsia"/>
        </w:rPr>
        <w:t>承担额外的溢价成本。</w:t>
      </w:r>
    </w:p>
    <w:p w:rsidR="008A1CBC" w:rsidRDefault="008A1CBC" w:rsidP="008A1CBC">
      <w:pPr>
        <w:pStyle w:val="Default"/>
      </w:pPr>
    </w:p>
    <w:p w:rsidR="00594CBB" w:rsidRPr="00594CBB" w:rsidRDefault="008A1CBC" w:rsidP="008A1CBC">
      <w:pPr>
        <w:pStyle w:val="Default"/>
        <w:spacing w:line="360" w:lineRule="auto"/>
        <w:ind w:firstLineChars="200" w:firstLine="480"/>
        <w:jc w:val="both"/>
        <w:rPr>
          <w:rFonts w:hAnsi="宋体"/>
        </w:rPr>
      </w:pPr>
      <w:r w:rsidRPr="008A1CBC">
        <w:rPr>
          <w:rFonts w:hAnsi="宋体" w:hint="eastAsia"/>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8A1CBC">
        <w:rPr>
          <w:rFonts w:hAnsi="宋体"/>
        </w:rPr>
        <w:t>“</w:t>
      </w:r>
      <w:r w:rsidRPr="008A1CBC">
        <w:rPr>
          <w:rFonts w:hAnsi="宋体" w:hint="eastAsia"/>
        </w:rPr>
        <w:t>买者自负</w:t>
      </w:r>
      <w:r w:rsidRPr="008A1CBC">
        <w:rPr>
          <w:rFonts w:hAnsi="宋体"/>
        </w:rPr>
        <w:t>”</w:t>
      </w:r>
      <w:r w:rsidRPr="008A1CBC">
        <w:rPr>
          <w:rFonts w:hAnsi="宋体" w:hint="eastAsia"/>
        </w:rPr>
        <w:t>原则，</w:t>
      </w:r>
      <w:r w:rsidRPr="008A1CBC">
        <w:rPr>
          <w:rFonts w:hAnsi="宋体" w:hint="eastAsia"/>
        </w:rPr>
        <w:lastRenderedPageBreak/>
        <w:t>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594CBB" w:rsidRDefault="00594CBB" w:rsidP="00C6160B">
      <w:pPr>
        <w:pStyle w:val="Default"/>
        <w:spacing w:line="360" w:lineRule="auto"/>
        <w:ind w:firstLineChars="200" w:firstLine="480"/>
        <w:jc w:val="both"/>
        <w:rPr>
          <w:rFonts w:hAnsi="宋体"/>
        </w:rPr>
      </w:pPr>
    </w:p>
    <w:p w:rsidR="00F92D37" w:rsidRDefault="00F92D37" w:rsidP="00594CBB">
      <w:pPr>
        <w:pStyle w:val="Default"/>
        <w:spacing w:line="360" w:lineRule="auto"/>
        <w:ind w:firstLineChars="200" w:firstLine="480"/>
        <w:rPr>
          <w:rFonts w:hAnsi="宋体"/>
        </w:rPr>
      </w:pPr>
      <w:r>
        <w:rPr>
          <w:rFonts w:hAnsi="宋体" w:hint="eastAsia"/>
        </w:rPr>
        <w:t>特此公告。</w:t>
      </w:r>
    </w:p>
    <w:p w:rsidR="00F92D37" w:rsidRDefault="00F92D37" w:rsidP="00594CBB">
      <w:pPr>
        <w:pStyle w:val="Default"/>
        <w:spacing w:line="360" w:lineRule="auto"/>
        <w:ind w:firstLineChars="200" w:firstLine="480"/>
        <w:rPr>
          <w:rFonts w:hAnsi="宋体"/>
        </w:rPr>
      </w:pPr>
    </w:p>
    <w:p w:rsidR="00F92D37" w:rsidRDefault="00F92D37" w:rsidP="002562B1">
      <w:pPr>
        <w:pStyle w:val="Default"/>
        <w:spacing w:line="360" w:lineRule="auto"/>
        <w:ind w:firstLineChars="200" w:firstLine="480"/>
        <w:jc w:val="right"/>
        <w:rPr>
          <w:rFonts w:hAnsi="宋体"/>
        </w:rPr>
      </w:pPr>
      <w:r>
        <w:rPr>
          <w:rFonts w:hAnsi="宋体" w:hint="eastAsia"/>
        </w:rPr>
        <w:t>国泰基金管理有限公司</w:t>
      </w:r>
    </w:p>
    <w:p w:rsidR="00594CBB" w:rsidRPr="00594CBB" w:rsidRDefault="0091499D" w:rsidP="00C63F09">
      <w:pPr>
        <w:pStyle w:val="Default"/>
        <w:spacing w:line="360" w:lineRule="auto"/>
        <w:ind w:firstLineChars="200" w:firstLine="480"/>
        <w:jc w:val="right"/>
        <w:rPr>
          <w:rFonts w:hAnsi="宋体"/>
        </w:rPr>
      </w:pPr>
      <w:r>
        <w:rPr>
          <w:rFonts w:hAnsi="宋体" w:hint="eastAsia"/>
        </w:rPr>
        <w:t>二〇二五</w:t>
      </w:r>
      <w:r w:rsidR="00F92D37">
        <w:rPr>
          <w:rFonts w:hAnsi="宋体" w:hint="eastAsia"/>
        </w:rPr>
        <w:t>年</w:t>
      </w:r>
      <w:r w:rsidR="008C16AA">
        <w:rPr>
          <w:rFonts w:hAnsi="宋体" w:hint="eastAsia"/>
        </w:rPr>
        <w:t>十二</w:t>
      </w:r>
      <w:r w:rsidR="003B66BF">
        <w:rPr>
          <w:rFonts w:hAnsi="宋体" w:hint="eastAsia"/>
        </w:rPr>
        <w:t>月</w:t>
      </w:r>
      <w:r w:rsidR="008C16AA">
        <w:rPr>
          <w:rFonts w:hAnsi="宋体" w:hint="eastAsia"/>
        </w:rPr>
        <w:t>二十</w:t>
      </w:r>
      <w:r w:rsidR="00824809">
        <w:rPr>
          <w:rFonts w:hAnsi="宋体" w:hint="eastAsia"/>
        </w:rPr>
        <w:t>六</w:t>
      </w:r>
      <w:r w:rsidR="00F92D37">
        <w:rPr>
          <w:rFonts w:hAnsi="宋体" w:hint="eastAsia"/>
        </w:rPr>
        <w:t>日</w:t>
      </w:r>
    </w:p>
    <w:sectPr w:rsidR="00594CBB" w:rsidRPr="00594CBB" w:rsidSect="00C243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9AA" w:rsidRDefault="004639AA" w:rsidP="00B8092C">
      <w:r>
        <w:separator/>
      </w:r>
    </w:p>
  </w:endnote>
  <w:endnote w:type="continuationSeparator" w:id="0">
    <w:p w:rsidR="004639AA" w:rsidRDefault="004639AA" w:rsidP="00B80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9AA" w:rsidRDefault="004639AA" w:rsidP="00B8092C">
      <w:r>
        <w:separator/>
      </w:r>
    </w:p>
  </w:footnote>
  <w:footnote w:type="continuationSeparator" w:id="0">
    <w:p w:rsidR="004639AA" w:rsidRDefault="004639AA" w:rsidP="00B80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059F8"/>
    <w:multiLevelType w:val="hybridMultilevel"/>
    <w:tmpl w:val="DA8005DC"/>
    <w:lvl w:ilvl="0" w:tplc="2A6E42E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E6D"/>
    <w:rsid w:val="000304E9"/>
    <w:rsid w:val="00031DE8"/>
    <w:rsid w:val="00034DD8"/>
    <w:rsid w:val="00035840"/>
    <w:rsid w:val="00081FAB"/>
    <w:rsid w:val="000E1217"/>
    <w:rsid w:val="000F66E7"/>
    <w:rsid w:val="00113904"/>
    <w:rsid w:val="00115153"/>
    <w:rsid w:val="00117BAD"/>
    <w:rsid w:val="001A7317"/>
    <w:rsid w:val="001D16AC"/>
    <w:rsid w:val="00217078"/>
    <w:rsid w:val="0021733B"/>
    <w:rsid w:val="00220D90"/>
    <w:rsid w:val="002344E3"/>
    <w:rsid w:val="0024016B"/>
    <w:rsid w:val="002414C6"/>
    <w:rsid w:val="002562B1"/>
    <w:rsid w:val="002F44AC"/>
    <w:rsid w:val="002F59A4"/>
    <w:rsid w:val="002F6112"/>
    <w:rsid w:val="00303AFD"/>
    <w:rsid w:val="00314F04"/>
    <w:rsid w:val="00350B96"/>
    <w:rsid w:val="00351EA2"/>
    <w:rsid w:val="00362201"/>
    <w:rsid w:val="00374F88"/>
    <w:rsid w:val="0039000D"/>
    <w:rsid w:val="00391C39"/>
    <w:rsid w:val="003973AD"/>
    <w:rsid w:val="003A2466"/>
    <w:rsid w:val="003A719A"/>
    <w:rsid w:val="003B66BF"/>
    <w:rsid w:val="003F3B77"/>
    <w:rsid w:val="00426032"/>
    <w:rsid w:val="00444C00"/>
    <w:rsid w:val="00460566"/>
    <w:rsid w:val="004639AA"/>
    <w:rsid w:val="004641E8"/>
    <w:rsid w:val="00487013"/>
    <w:rsid w:val="00487231"/>
    <w:rsid w:val="0049306E"/>
    <w:rsid w:val="004A365C"/>
    <w:rsid w:val="004B242A"/>
    <w:rsid w:val="004B33B0"/>
    <w:rsid w:val="004B4A9D"/>
    <w:rsid w:val="004D1E52"/>
    <w:rsid w:val="004F4E63"/>
    <w:rsid w:val="0051681D"/>
    <w:rsid w:val="00537637"/>
    <w:rsid w:val="0058424D"/>
    <w:rsid w:val="00591BFC"/>
    <w:rsid w:val="00594CBB"/>
    <w:rsid w:val="005B246C"/>
    <w:rsid w:val="005C3CAD"/>
    <w:rsid w:val="005E0539"/>
    <w:rsid w:val="005E0B1E"/>
    <w:rsid w:val="005E2256"/>
    <w:rsid w:val="005E5BC9"/>
    <w:rsid w:val="005F0E85"/>
    <w:rsid w:val="00614D0F"/>
    <w:rsid w:val="00647C81"/>
    <w:rsid w:val="00664475"/>
    <w:rsid w:val="00665CA0"/>
    <w:rsid w:val="006A48AB"/>
    <w:rsid w:val="00715A0F"/>
    <w:rsid w:val="00733A97"/>
    <w:rsid w:val="007372E4"/>
    <w:rsid w:val="00773779"/>
    <w:rsid w:val="00794447"/>
    <w:rsid w:val="007A5429"/>
    <w:rsid w:val="007E5F8A"/>
    <w:rsid w:val="00813651"/>
    <w:rsid w:val="00823021"/>
    <w:rsid w:val="00824809"/>
    <w:rsid w:val="0083006E"/>
    <w:rsid w:val="00836387"/>
    <w:rsid w:val="0084559A"/>
    <w:rsid w:val="00875B57"/>
    <w:rsid w:val="00880BDE"/>
    <w:rsid w:val="008873AD"/>
    <w:rsid w:val="00897704"/>
    <w:rsid w:val="008A1048"/>
    <w:rsid w:val="008A1CBC"/>
    <w:rsid w:val="008C16AA"/>
    <w:rsid w:val="008D5124"/>
    <w:rsid w:val="008D6DCC"/>
    <w:rsid w:val="008F43CB"/>
    <w:rsid w:val="0091499D"/>
    <w:rsid w:val="00914B00"/>
    <w:rsid w:val="009610D7"/>
    <w:rsid w:val="00967456"/>
    <w:rsid w:val="009817A0"/>
    <w:rsid w:val="00992FF0"/>
    <w:rsid w:val="00996225"/>
    <w:rsid w:val="009D1BC5"/>
    <w:rsid w:val="009F1457"/>
    <w:rsid w:val="00A1506D"/>
    <w:rsid w:val="00A43937"/>
    <w:rsid w:val="00A940B8"/>
    <w:rsid w:val="00A97658"/>
    <w:rsid w:val="00AA107D"/>
    <w:rsid w:val="00AB2A66"/>
    <w:rsid w:val="00AC76EA"/>
    <w:rsid w:val="00AD3CE6"/>
    <w:rsid w:val="00B06806"/>
    <w:rsid w:val="00B56EC0"/>
    <w:rsid w:val="00B57A4A"/>
    <w:rsid w:val="00B57C27"/>
    <w:rsid w:val="00B8092C"/>
    <w:rsid w:val="00B83324"/>
    <w:rsid w:val="00BC74E3"/>
    <w:rsid w:val="00BE7425"/>
    <w:rsid w:val="00C243D7"/>
    <w:rsid w:val="00C41245"/>
    <w:rsid w:val="00C46AF9"/>
    <w:rsid w:val="00C5668C"/>
    <w:rsid w:val="00C6160B"/>
    <w:rsid w:val="00C63F09"/>
    <w:rsid w:val="00CA28A4"/>
    <w:rsid w:val="00CA396B"/>
    <w:rsid w:val="00CC26C3"/>
    <w:rsid w:val="00CC6077"/>
    <w:rsid w:val="00CC7E52"/>
    <w:rsid w:val="00CE1460"/>
    <w:rsid w:val="00CE62F4"/>
    <w:rsid w:val="00D136A0"/>
    <w:rsid w:val="00D144FE"/>
    <w:rsid w:val="00D25932"/>
    <w:rsid w:val="00D4037C"/>
    <w:rsid w:val="00D56E6D"/>
    <w:rsid w:val="00D61006"/>
    <w:rsid w:val="00DD6808"/>
    <w:rsid w:val="00DF3622"/>
    <w:rsid w:val="00E02DBA"/>
    <w:rsid w:val="00E7656D"/>
    <w:rsid w:val="00E770E6"/>
    <w:rsid w:val="00E829E6"/>
    <w:rsid w:val="00EB105A"/>
    <w:rsid w:val="00EF3B73"/>
    <w:rsid w:val="00F22395"/>
    <w:rsid w:val="00F35EB4"/>
    <w:rsid w:val="00F57818"/>
    <w:rsid w:val="00F84930"/>
    <w:rsid w:val="00F84A8E"/>
    <w:rsid w:val="00F86EDB"/>
    <w:rsid w:val="00F92D37"/>
    <w:rsid w:val="00FD6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4CB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B80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92C"/>
    <w:rPr>
      <w:sz w:val="18"/>
      <w:szCs w:val="18"/>
    </w:rPr>
  </w:style>
  <w:style w:type="paragraph" w:styleId="a4">
    <w:name w:val="footer"/>
    <w:basedOn w:val="a"/>
    <w:link w:val="Char0"/>
    <w:uiPriority w:val="99"/>
    <w:unhideWhenUsed/>
    <w:rsid w:val="00B8092C"/>
    <w:pPr>
      <w:tabs>
        <w:tab w:val="center" w:pos="4153"/>
        <w:tab w:val="right" w:pos="8306"/>
      </w:tabs>
      <w:snapToGrid w:val="0"/>
      <w:jc w:val="left"/>
    </w:pPr>
    <w:rPr>
      <w:sz w:val="18"/>
      <w:szCs w:val="18"/>
    </w:rPr>
  </w:style>
  <w:style w:type="character" w:customStyle="1" w:styleId="Char0">
    <w:name w:val="页脚 Char"/>
    <w:basedOn w:val="a0"/>
    <w:link w:val="a4"/>
    <w:uiPriority w:val="99"/>
    <w:rsid w:val="00B8092C"/>
    <w:rPr>
      <w:sz w:val="18"/>
      <w:szCs w:val="18"/>
    </w:rPr>
  </w:style>
  <w:style w:type="paragraph" w:styleId="a5">
    <w:name w:val="Balloon Text"/>
    <w:basedOn w:val="a"/>
    <w:link w:val="Char1"/>
    <w:uiPriority w:val="99"/>
    <w:semiHidden/>
    <w:unhideWhenUsed/>
    <w:rsid w:val="00733A97"/>
    <w:rPr>
      <w:sz w:val="18"/>
      <w:szCs w:val="18"/>
    </w:rPr>
  </w:style>
  <w:style w:type="character" w:customStyle="1" w:styleId="Char1">
    <w:name w:val="批注框文本 Char"/>
    <w:basedOn w:val="a0"/>
    <w:link w:val="a5"/>
    <w:uiPriority w:val="99"/>
    <w:semiHidden/>
    <w:rsid w:val="00733A97"/>
    <w:rPr>
      <w:sz w:val="18"/>
      <w:szCs w:val="18"/>
    </w:rPr>
  </w:style>
  <w:style w:type="paragraph" w:styleId="a6">
    <w:name w:val="Revision"/>
    <w:hidden/>
    <w:uiPriority w:val="99"/>
    <w:semiHidden/>
    <w:rsid w:val="00F578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593B-9136-4B39-A2E5-7B687BD4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4</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王莉宏:</dc:creator>
  <cp:keywords/>
  <dc:description/>
  <cp:lastModifiedBy>ZHONGM</cp:lastModifiedBy>
  <cp:revision>2</cp:revision>
  <dcterms:created xsi:type="dcterms:W3CDTF">2025-12-25T16:01:00Z</dcterms:created>
  <dcterms:modified xsi:type="dcterms:W3CDTF">2025-12-25T16:01:00Z</dcterms:modified>
</cp:coreProperties>
</file>