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AE" w:rsidRPr="009F1E28" w:rsidRDefault="00DF5FAE" w:rsidP="00DF5FAE">
      <w:pPr>
        <w:spacing w:line="480" w:lineRule="auto"/>
        <w:jc w:val="center"/>
        <w:rPr>
          <w:rFonts w:asciiTheme="majorEastAsia" w:eastAsiaTheme="majorEastAsia" w:hAnsiTheme="majorEastAsia" w:cs="Times New Roman"/>
          <w:b/>
          <w:sz w:val="21"/>
          <w:szCs w:val="21"/>
          <w:lang w:eastAsia="zh-CN"/>
        </w:rPr>
      </w:pPr>
      <w:r>
        <w:rPr>
          <w:rFonts w:asciiTheme="majorEastAsia" w:eastAsiaTheme="majorEastAsia" w:hAnsiTheme="majorEastAsia" w:cs="Times New Roman" w:hint="eastAsia"/>
          <w:b/>
          <w:sz w:val="21"/>
          <w:szCs w:val="21"/>
          <w:lang w:eastAsia="zh-CN"/>
        </w:rPr>
        <w:t>中欧基金管理</w:t>
      </w:r>
      <w:r w:rsidRPr="00DF5FAE">
        <w:rPr>
          <w:rFonts w:asciiTheme="majorEastAsia" w:eastAsiaTheme="majorEastAsia" w:hAnsiTheme="majorEastAsia" w:cs="Times New Roman" w:hint="eastAsia"/>
          <w:b/>
          <w:sz w:val="21"/>
          <w:szCs w:val="21"/>
          <w:lang w:eastAsia="zh-CN"/>
        </w:rPr>
        <w:t>有限公司关于旗下部分基金</w:t>
      </w:r>
      <w:r w:rsidRPr="00DF5FAE">
        <w:rPr>
          <w:rFonts w:asciiTheme="majorEastAsia" w:eastAsiaTheme="majorEastAsia" w:hAnsiTheme="majorEastAsia" w:cs="Times New Roman"/>
          <w:b/>
          <w:sz w:val="21"/>
          <w:szCs w:val="21"/>
          <w:lang w:eastAsia="zh-CN"/>
        </w:rPr>
        <w:t>202</w:t>
      </w:r>
      <w:r w:rsidR="00062D9D">
        <w:rPr>
          <w:rFonts w:asciiTheme="majorEastAsia" w:eastAsiaTheme="majorEastAsia" w:hAnsiTheme="majorEastAsia" w:cs="Times New Roman"/>
          <w:b/>
          <w:sz w:val="21"/>
          <w:szCs w:val="21"/>
          <w:lang w:eastAsia="zh-CN"/>
        </w:rPr>
        <w:t>6</w:t>
      </w:r>
      <w:r w:rsidRPr="00DF5FAE">
        <w:rPr>
          <w:rFonts w:asciiTheme="majorEastAsia" w:eastAsiaTheme="majorEastAsia" w:hAnsiTheme="majorEastAsia" w:cs="Times New Roman"/>
          <w:b/>
          <w:sz w:val="21"/>
          <w:szCs w:val="21"/>
          <w:lang w:eastAsia="zh-CN"/>
        </w:rPr>
        <w:t>年</w:t>
      </w:r>
      <w:r w:rsidRPr="00DF5FAE">
        <w:rPr>
          <w:rFonts w:asciiTheme="majorEastAsia" w:eastAsiaTheme="majorEastAsia" w:hAnsiTheme="majorEastAsia" w:cs="Times New Roman" w:hint="eastAsia"/>
          <w:b/>
          <w:sz w:val="21"/>
          <w:szCs w:val="21"/>
          <w:lang w:eastAsia="zh-CN"/>
        </w:rPr>
        <w:t>非港股通交易日</w:t>
      </w:r>
    </w:p>
    <w:p w:rsidR="00D773C2" w:rsidRPr="009F1E28" w:rsidRDefault="00D773C2" w:rsidP="006B42C5">
      <w:pPr>
        <w:spacing w:line="480" w:lineRule="auto"/>
        <w:jc w:val="center"/>
        <w:rPr>
          <w:rFonts w:asciiTheme="majorEastAsia" w:eastAsiaTheme="majorEastAsia" w:hAnsiTheme="majorEastAsia" w:cs="Times New Roman"/>
          <w:b/>
          <w:sz w:val="21"/>
          <w:szCs w:val="21"/>
          <w:lang w:eastAsia="zh-CN"/>
        </w:rPr>
      </w:pPr>
      <w:r w:rsidRPr="009F1E28">
        <w:rPr>
          <w:rFonts w:asciiTheme="majorEastAsia" w:eastAsiaTheme="majorEastAsia" w:hAnsiTheme="majorEastAsia" w:cs="Times New Roman" w:hint="eastAsia"/>
          <w:b/>
          <w:sz w:val="21"/>
          <w:szCs w:val="21"/>
          <w:lang w:eastAsia="zh-CN"/>
        </w:rPr>
        <w:t>暂停申购、</w:t>
      </w:r>
      <w:r w:rsidR="00D77C50">
        <w:rPr>
          <w:rFonts w:asciiTheme="majorEastAsia" w:eastAsiaTheme="majorEastAsia" w:hAnsiTheme="majorEastAsia" w:cs="Times New Roman" w:hint="eastAsia"/>
          <w:b/>
          <w:sz w:val="21"/>
          <w:szCs w:val="21"/>
          <w:lang w:eastAsia="zh-CN"/>
        </w:rPr>
        <w:t>赎回</w:t>
      </w:r>
      <w:r w:rsidR="0043234C">
        <w:rPr>
          <w:rFonts w:asciiTheme="majorEastAsia" w:eastAsiaTheme="majorEastAsia" w:hAnsiTheme="majorEastAsia" w:cs="Times New Roman" w:hint="eastAsia"/>
          <w:b/>
          <w:sz w:val="21"/>
          <w:szCs w:val="21"/>
          <w:lang w:eastAsia="zh-CN"/>
        </w:rPr>
        <w:t>、转换</w:t>
      </w:r>
      <w:r w:rsidRPr="009F1E28">
        <w:rPr>
          <w:rFonts w:asciiTheme="majorEastAsia" w:eastAsiaTheme="majorEastAsia" w:hAnsiTheme="majorEastAsia" w:cs="Times New Roman" w:hint="eastAsia"/>
          <w:b/>
          <w:sz w:val="21"/>
          <w:szCs w:val="21"/>
          <w:lang w:eastAsia="zh-CN"/>
        </w:rPr>
        <w:t>和定期定额投资业务的公告</w:t>
      </w:r>
    </w:p>
    <w:p w:rsidR="00FC0761" w:rsidRDefault="00D773C2" w:rsidP="00FC0761">
      <w:pPr>
        <w:pStyle w:val="a3"/>
        <w:spacing w:before="35" w:line="357" w:lineRule="auto"/>
        <w:ind w:right="45" w:firstLine="479"/>
        <w:jc w:val="both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9F1E28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根据上海证券交易所</w:t>
      </w:r>
      <w:r w:rsidR="00C663BB" w:rsidRPr="009F1E28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《</w:t>
      </w:r>
      <w:r w:rsidR="00062D9D" w:rsidRPr="00062D9D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关于</w:t>
      </w:r>
      <w:r w:rsidR="00062D9D" w:rsidRPr="00062D9D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2026年沪港通下港股通交易日安排的通知</w:t>
      </w:r>
      <w:r w:rsidR="00C663BB"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》</w:t>
      </w:r>
      <w:r w:rsidR="00C663BB" w:rsidRPr="009F1E28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及</w:t>
      </w: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深圳证券交易所《</w:t>
      </w:r>
      <w:r w:rsidR="00062D9D" w:rsidRPr="00062D9D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关于</w:t>
      </w:r>
      <w:r w:rsidR="00062D9D" w:rsidRPr="00062D9D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2026年深港通下的港股通交易日有关安排的通知</w:t>
      </w: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》中有关港股通交易日的安排</w:t>
      </w:r>
      <w:r w:rsidRPr="009F1E28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，</w:t>
      </w: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为更好地保证</w:t>
      </w:r>
      <w:r w:rsidR="00255724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相关</w:t>
      </w: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基金的稳定运作，保护基金份额持有人利益，</w:t>
      </w:r>
      <w:r w:rsidRPr="009F1E28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中欧</w:t>
      </w:r>
      <w:r w:rsidR="00DE45D6"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基金管理有限</w:t>
      </w:r>
      <w:r w:rsidR="00DE45D6" w:rsidRPr="009F1E28">
        <w:rPr>
          <w:rFonts w:asciiTheme="majorEastAsia" w:eastAsiaTheme="majorEastAsia" w:hAnsiTheme="majorEastAsia"/>
          <w:spacing w:val="-14"/>
          <w:sz w:val="21"/>
          <w:szCs w:val="21"/>
          <w:lang w:eastAsia="zh-CN"/>
        </w:rPr>
        <w:t>公司</w:t>
      </w:r>
      <w:r w:rsidR="00DE45D6" w:rsidRPr="009F1E28">
        <w:rPr>
          <w:rFonts w:asciiTheme="majorEastAsia" w:eastAsiaTheme="majorEastAsia" w:hAnsiTheme="majorEastAsia"/>
          <w:sz w:val="21"/>
          <w:szCs w:val="21"/>
          <w:lang w:eastAsia="zh-CN"/>
        </w:rPr>
        <w:t>（</w:t>
      </w:r>
      <w:r w:rsidR="00DE45D6" w:rsidRPr="009F1E28">
        <w:rPr>
          <w:rFonts w:asciiTheme="majorEastAsia" w:eastAsiaTheme="majorEastAsia" w:hAnsiTheme="majorEastAsia"/>
          <w:spacing w:val="-4"/>
          <w:sz w:val="21"/>
          <w:szCs w:val="21"/>
          <w:lang w:eastAsia="zh-CN"/>
        </w:rPr>
        <w:t>以下简称“本公司</w:t>
      </w:r>
      <w:r w:rsidR="00DE45D6" w:rsidRPr="009F1E28">
        <w:rPr>
          <w:rFonts w:asciiTheme="majorEastAsia" w:eastAsiaTheme="majorEastAsia" w:hAnsiTheme="majorEastAsia"/>
          <w:spacing w:val="-20"/>
          <w:sz w:val="21"/>
          <w:szCs w:val="21"/>
          <w:lang w:eastAsia="zh-CN"/>
        </w:rPr>
        <w:t>”）</w:t>
      </w:r>
      <w:r w:rsidR="00DE45D6" w:rsidRPr="009F1E28">
        <w:rPr>
          <w:rFonts w:asciiTheme="majorEastAsia" w:eastAsiaTheme="majorEastAsia" w:hAnsiTheme="majorEastAsia"/>
          <w:spacing w:val="-2"/>
          <w:sz w:val="21"/>
          <w:szCs w:val="21"/>
          <w:lang w:eastAsia="zh-CN"/>
        </w:rPr>
        <w:t>决定</w:t>
      </w:r>
      <w:r w:rsidR="002F120D" w:rsidRPr="009F1E28">
        <w:rPr>
          <w:rFonts w:asciiTheme="majorEastAsia" w:eastAsiaTheme="majorEastAsia" w:hAnsiTheme="majorEastAsia" w:hint="eastAsia"/>
          <w:spacing w:val="-2"/>
          <w:sz w:val="21"/>
          <w:szCs w:val="21"/>
          <w:lang w:eastAsia="zh-CN"/>
        </w:rPr>
        <w:t>，除</w:t>
      </w:r>
      <w:r w:rsidR="002F120D" w:rsidRPr="009F1E28">
        <w:rPr>
          <w:rFonts w:asciiTheme="majorEastAsia" w:eastAsiaTheme="majorEastAsia" w:hAnsiTheme="majorEastAsia"/>
          <w:spacing w:val="-2"/>
          <w:sz w:val="21"/>
          <w:szCs w:val="21"/>
          <w:lang w:eastAsia="zh-CN"/>
        </w:rPr>
        <w:t>上海交易所和深圳交易所因境内节假日休市外，</w:t>
      </w:r>
      <w:r w:rsidR="00DE45D6" w:rsidRPr="009F1E28">
        <w:rPr>
          <w:rFonts w:asciiTheme="majorEastAsia" w:eastAsiaTheme="majorEastAsia" w:hAnsiTheme="majorEastAsia"/>
          <w:spacing w:val="-2"/>
          <w:sz w:val="21"/>
          <w:szCs w:val="21"/>
          <w:lang w:eastAsia="zh-CN"/>
        </w:rPr>
        <w:t>对</w:t>
      </w:r>
      <w:r w:rsidR="00062D9D">
        <w:rPr>
          <w:rFonts w:asciiTheme="majorEastAsia" w:eastAsiaTheme="majorEastAsia" w:hAnsiTheme="majorEastAsia"/>
          <w:spacing w:val="-2"/>
          <w:sz w:val="21"/>
          <w:szCs w:val="21"/>
          <w:lang w:eastAsia="zh-CN"/>
        </w:rPr>
        <w:t>2026</w:t>
      </w:r>
      <w:r w:rsidR="004D76F5">
        <w:rPr>
          <w:rFonts w:asciiTheme="majorEastAsia" w:eastAsiaTheme="majorEastAsia" w:hAnsiTheme="majorEastAsia" w:hint="eastAsia"/>
          <w:spacing w:val="-2"/>
          <w:sz w:val="21"/>
          <w:szCs w:val="21"/>
          <w:lang w:eastAsia="zh-CN"/>
        </w:rPr>
        <w:t>年</w:t>
      </w:r>
      <w:r w:rsidR="00DE45D6" w:rsidRPr="009F1E28">
        <w:rPr>
          <w:rFonts w:asciiTheme="majorEastAsia" w:eastAsiaTheme="majorEastAsia" w:hAnsiTheme="majorEastAsia"/>
          <w:spacing w:val="-2"/>
          <w:sz w:val="21"/>
          <w:szCs w:val="21"/>
          <w:lang w:eastAsia="zh-CN"/>
        </w:rPr>
        <w:t>处于上海证券交易所、深圳证券交易所交易</w:t>
      </w:r>
      <w:r w:rsidR="00B27BC6">
        <w:rPr>
          <w:rFonts w:asciiTheme="majorEastAsia" w:eastAsiaTheme="majorEastAsia" w:hAnsiTheme="majorEastAsia"/>
          <w:spacing w:val="-4"/>
          <w:sz w:val="21"/>
          <w:szCs w:val="21"/>
          <w:lang w:eastAsia="zh-CN"/>
        </w:rPr>
        <w:t>日的</w:t>
      </w:r>
      <w:r w:rsidR="00DE45D6" w:rsidRPr="009F1E28">
        <w:rPr>
          <w:rFonts w:asciiTheme="majorEastAsia" w:eastAsiaTheme="majorEastAsia" w:hAnsiTheme="majorEastAsia"/>
          <w:spacing w:val="-4"/>
          <w:sz w:val="21"/>
          <w:szCs w:val="21"/>
          <w:lang w:eastAsia="zh-CN"/>
        </w:rPr>
        <w:t>非港股通交易日暂停</w:t>
      </w:r>
      <w:r w:rsidR="00DF5FAE">
        <w:rPr>
          <w:rFonts w:asciiTheme="majorEastAsia" w:eastAsiaTheme="majorEastAsia" w:hAnsiTheme="majorEastAsia" w:hint="eastAsia"/>
          <w:spacing w:val="-4"/>
          <w:sz w:val="21"/>
          <w:szCs w:val="21"/>
          <w:lang w:eastAsia="zh-CN"/>
        </w:rPr>
        <w:t>下列</w:t>
      </w:r>
      <w:r w:rsidR="00DE45D6" w:rsidRPr="009F1E28">
        <w:rPr>
          <w:rFonts w:asciiTheme="majorEastAsia" w:eastAsiaTheme="majorEastAsia" w:hAnsiTheme="majorEastAsia"/>
          <w:spacing w:val="-4"/>
          <w:sz w:val="21"/>
          <w:szCs w:val="21"/>
          <w:lang w:eastAsia="zh-CN"/>
        </w:rPr>
        <w:t>基金的申购</w:t>
      </w:r>
      <w:r w:rsidR="00C663BB"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、</w:t>
      </w:r>
      <w:r w:rsidR="00D77C50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赎回</w:t>
      </w:r>
      <w:r w:rsidR="0043234C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、</w:t>
      </w:r>
      <w:r w:rsidR="00DE45D6"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转换</w:t>
      </w:r>
      <w:r w:rsidR="00C663BB" w:rsidRPr="009F1E28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和</w:t>
      </w:r>
      <w:r w:rsidR="00C663BB"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定期定额投资</w:t>
      </w:r>
      <w:r w:rsidR="00DE45D6" w:rsidRPr="009F1E28">
        <w:rPr>
          <w:rFonts w:asciiTheme="majorEastAsia" w:eastAsiaTheme="majorEastAsia" w:hAnsiTheme="majorEastAsia"/>
          <w:spacing w:val="-11"/>
          <w:sz w:val="21"/>
          <w:szCs w:val="21"/>
          <w:lang w:eastAsia="zh-CN"/>
        </w:rPr>
        <w:t>业务</w:t>
      </w:r>
      <w:r w:rsidR="00DE45D6" w:rsidRPr="009F1E28">
        <w:rPr>
          <w:rFonts w:asciiTheme="majorEastAsia" w:eastAsiaTheme="majorEastAsia" w:hAnsiTheme="majorEastAsia"/>
          <w:sz w:val="21"/>
          <w:szCs w:val="21"/>
          <w:lang w:eastAsia="zh-CN"/>
        </w:rPr>
        <w:t>，届时不再另行公告</w:t>
      </w:r>
      <w:r w:rsidR="002F120D" w:rsidRPr="009F1E28">
        <w:rPr>
          <w:rFonts w:asciiTheme="majorEastAsia" w:eastAsiaTheme="majorEastAsia" w:hAnsiTheme="majorEastAsia" w:hint="eastAsia"/>
          <w:sz w:val="21"/>
          <w:szCs w:val="21"/>
          <w:lang w:eastAsia="zh-CN"/>
        </w:rPr>
        <w:t>，</w:t>
      </w:r>
      <w:r w:rsidR="002F120D" w:rsidRPr="009F1E28">
        <w:rPr>
          <w:rFonts w:asciiTheme="majorEastAsia" w:eastAsiaTheme="majorEastAsia" w:hAnsiTheme="majorEastAsia"/>
          <w:sz w:val="21"/>
          <w:szCs w:val="21"/>
          <w:lang w:eastAsia="zh-CN"/>
        </w:rPr>
        <w:t>敬请投资者及早做好交易安排</w:t>
      </w:r>
      <w:r w:rsidR="00DE45D6" w:rsidRPr="009F1E28">
        <w:rPr>
          <w:rFonts w:asciiTheme="majorEastAsia" w:eastAsiaTheme="majorEastAsia" w:hAnsiTheme="majorEastAsia"/>
          <w:sz w:val="21"/>
          <w:szCs w:val="21"/>
          <w:lang w:eastAsia="zh-CN"/>
        </w:rPr>
        <w:t>。</w:t>
      </w:r>
    </w:p>
    <w:p w:rsidR="00DF5FAE" w:rsidRPr="00B27BC6" w:rsidRDefault="00DF5FAE" w:rsidP="00FC0761">
      <w:pPr>
        <w:pStyle w:val="a3"/>
        <w:spacing w:before="35" w:line="357" w:lineRule="auto"/>
        <w:ind w:right="45" w:firstLine="479"/>
        <w:jc w:val="both"/>
        <w:rPr>
          <w:rFonts w:asciiTheme="majorEastAsia" w:eastAsiaTheme="majorEastAsia" w:hAnsiTheme="majorEastAsia"/>
          <w:b/>
          <w:spacing w:val="-2"/>
          <w:sz w:val="21"/>
          <w:szCs w:val="21"/>
          <w:lang w:eastAsia="zh-CN"/>
        </w:rPr>
      </w:pPr>
      <w:r w:rsidRPr="00B27BC6">
        <w:rPr>
          <w:rFonts w:asciiTheme="majorEastAsia" w:eastAsiaTheme="majorEastAsia" w:hAnsiTheme="majorEastAsia" w:hint="eastAsia"/>
          <w:b/>
          <w:spacing w:val="-2"/>
          <w:sz w:val="21"/>
          <w:szCs w:val="21"/>
          <w:lang w:eastAsia="zh-CN"/>
        </w:rPr>
        <w:t>202</w:t>
      </w:r>
      <w:r w:rsidR="00062D9D">
        <w:rPr>
          <w:rFonts w:asciiTheme="majorEastAsia" w:eastAsiaTheme="majorEastAsia" w:hAnsiTheme="majorEastAsia"/>
          <w:b/>
          <w:spacing w:val="-2"/>
          <w:sz w:val="21"/>
          <w:szCs w:val="21"/>
          <w:lang w:eastAsia="zh-CN"/>
        </w:rPr>
        <w:t>6</w:t>
      </w:r>
      <w:r w:rsidRPr="00B27BC6">
        <w:rPr>
          <w:rFonts w:asciiTheme="majorEastAsia" w:eastAsiaTheme="majorEastAsia" w:hAnsiTheme="majorEastAsia" w:hint="eastAsia"/>
          <w:b/>
          <w:spacing w:val="-2"/>
          <w:sz w:val="21"/>
          <w:szCs w:val="21"/>
          <w:lang w:eastAsia="zh-CN"/>
        </w:rPr>
        <w:t>年非港股通交易日暂停申购赎回等业务的基金如下：</w:t>
      </w:r>
    </w:p>
    <w:tbl>
      <w:tblPr>
        <w:tblStyle w:val="a7"/>
        <w:tblW w:w="8706" w:type="dxa"/>
        <w:tblLook w:val="04A0"/>
      </w:tblPr>
      <w:tblGrid>
        <w:gridCol w:w="1413"/>
        <w:gridCol w:w="7293"/>
      </w:tblGrid>
      <w:tr w:rsidR="00B27BC6" w:rsidTr="00093AD3">
        <w:trPr>
          <w:trHeight w:val="418"/>
        </w:trPr>
        <w:tc>
          <w:tcPr>
            <w:tcW w:w="141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/>
              <w:jc w:val="center"/>
              <w:rPr>
                <w:rFonts w:asciiTheme="majorEastAsia" w:eastAsiaTheme="majorEastAsia" w:hAnsiTheme="majorEastAsia"/>
                <w:b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b/>
                <w:spacing w:val="-7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729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b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b/>
                <w:spacing w:val="-7"/>
                <w:sz w:val="21"/>
                <w:szCs w:val="21"/>
                <w:lang w:eastAsia="zh-CN"/>
              </w:rPr>
              <w:t>基金名称</w:t>
            </w:r>
          </w:p>
        </w:tc>
      </w:tr>
      <w:tr w:rsidR="00B27BC6" w:rsidTr="00093AD3">
        <w:trPr>
          <w:trHeight w:val="426"/>
        </w:trPr>
        <w:tc>
          <w:tcPr>
            <w:tcW w:w="141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02685</w:t>
            </w:r>
          </w:p>
        </w:tc>
        <w:tc>
          <w:tcPr>
            <w:tcW w:w="729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9F1E28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中欧丰泓沪港深灵活配置混合型证券投资基金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（A类份额）</w:t>
            </w:r>
          </w:p>
        </w:tc>
      </w:tr>
      <w:tr w:rsidR="00B27BC6" w:rsidTr="00093AD3">
        <w:trPr>
          <w:trHeight w:val="418"/>
        </w:trPr>
        <w:tc>
          <w:tcPr>
            <w:tcW w:w="141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02686</w:t>
            </w:r>
          </w:p>
        </w:tc>
        <w:tc>
          <w:tcPr>
            <w:tcW w:w="729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9F1E28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中欧丰泓沪港深灵活配置混合型证券投资基金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B27BC6" w:rsidTr="00093AD3">
        <w:trPr>
          <w:trHeight w:val="418"/>
        </w:trPr>
        <w:tc>
          <w:tcPr>
            <w:tcW w:w="141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13991</w:t>
            </w:r>
          </w:p>
        </w:tc>
        <w:tc>
          <w:tcPr>
            <w:tcW w:w="729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917EE9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中欧港股通精选一年持有期混合型证券投资基金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（A类份额）</w:t>
            </w:r>
          </w:p>
        </w:tc>
      </w:tr>
      <w:tr w:rsidR="00B27BC6" w:rsidRPr="00EF7915" w:rsidTr="00093AD3">
        <w:trPr>
          <w:trHeight w:val="426"/>
        </w:trPr>
        <w:tc>
          <w:tcPr>
            <w:tcW w:w="141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13992</w:t>
            </w:r>
          </w:p>
        </w:tc>
        <w:tc>
          <w:tcPr>
            <w:tcW w:w="729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917EE9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中欧港股通精选一年持有期混合型证券投资基金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B27BC6" w:rsidRPr="00EF7915" w:rsidTr="00093AD3">
        <w:trPr>
          <w:trHeight w:val="418"/>
        </w:trPr>
        <w:tc>
          <w:tcPr>
            <w:tcW w:w="141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16297</w:t>
            </w:r>
          </w:p>
        </w:tc>
        <w:tc>
          <w:tcPr>
            <w:tcW w:w="729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中欧丰泰港股通混合型证券投资基金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（A类份额）</w:t>
            </w:r>
          </w:p>
        </w:tc>
      </w:tr>
      <w:tr w:rsidR="00B27BC6" w:rsidRPr="00EF7915" w:rsidTr="00093AD3">
        <w:trPr>
          <w:trHeight w:val="418"/>
        </w:trPr>
        <w:tc>
          <w:tcPr>
            <w:tcW w:w="141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16298</w:t>
            </w:r>
          </w:p>
        </w:tc>
        <w:tc>
          <w:tcPr>
            <w:tcW w:w="729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中欧丰泰港股通混合型证券投资基金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B27BC6" w:rsidRPr="00EF7915" w:rsidTr="00093AD3">
        <w:trPr>
          <w:trHeight w:val="426"/>
        </w:trPr>
        <w:tc>
          <w:tcPr>
            <w:tcW w:w="141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15884</w:t>
            </w:r>
          </w:p>
        </w:tc>
        <w:tc>
          <w:tcPr>
            <w:tcW w:w="729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中欧港股数字经济混合型发起式证券投资基金（QDII）（A类份额）</w:t>
            </w:r>
          </w:p>
        </w:tc>
      </w:tr>
      <w:tr w:rsidR="00B27BC6" w:rsidRPr="00EF7915" w:rsidTr="00093AD3">
        <w:trPr>
          <w:trHeight w:val="418"/>
        </w:trPr>
        <w:tc>
          <w:tcPr>
            <w:tcW w:w="141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15885</w:t>
            </w:r>
          </w:p>
        </w:tc>
        <w:tc>
          <w:tcPr>
            <w:tcW w:w="7293" w:type="dxa"/>
            <w:vAlign w:val="center"/>
          </w:tcPr>
          <w:p w:rsidR="00B27BC6" w:rsidRPr="00B27BC6" w:rsidRDefault="00B27BC6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中欧港股数字经济混合型发起式证券投资基金（QDII）（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36195B" w:rsidRPr="00EF7915" w:rsidTr="00093AD3">
        <w:trPr>
          <w:trHeight w:val="418"/>
        </w:trPr>
        <w:tc>
          <w:tcPr>
            <w:tcW w:w="1413" w:type="dxa"/>
            <w:vAlign w:val="center"/>
          </w:tcPr>
          <w:p w:rsidR="0036195B" w:rsidRPr="00B27BC6" w:rsidRDefault="0036195B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36195B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018105</w:t>
            </w:r>
          </w:p>
        </w:tc>
        <w:tc>
          <w:tcPr>
            <w:tcW w:w="7293" w:type="dxa"/>
            <w:vAlign w:val="center"/>
          </w:tcPr>
          <w:p w:rsidR="0036195B" w:rsidRPr="00B27BC6" w:rsidRDefault="0036195B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EF7915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中欧聚优港股通混合型发起式证券投资基金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（A类份额）</w:t>
            </w:r>
          </w:p>
        </w:tc>
      </w:tr>
      <w:tr w:rsidR="0036195B" w:rsidRPr="00EF7915" w:rsidTr="00093AD3">
        <w:trPr>
          <w:trHeight w:val="418"/>
        </w:trPr>
        <w:tc>
          <w:tcPr>
            <w:tcW w:w="1413" w:type="dxa"/>
            <w:vAlign w:val="center"/>
          </w:tcPr>
          <w:p w:rsidR="0036195B" w:rsidRPr="00B27BC6" w:rsidRDefault="0036195B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18106</w:t>
            </w:r>
          </w:p>
        </w:tc>
        <w:tc>
          <w:tcPr>
            <w:tcW w:w="7293" w:type="dxa"/>
            <w:vAlign w:val="center"/>
          </w:tcPr>
          <w:p w:rsidR="0036195B" w:rsidRPr="00B27BC6" w:rsidRDefault="0036195B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EF7915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中欧聚优港股通混合型发起式证券投资基金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640340" w:rsidRPr="00EF7915" w:rsidTr="00093AD3">
        <w:trPr>
          <w:trHeight w:val="418"/>
        </w:trPr>
        <w:tc>
          <w:tcPr>
            <w:tcW w:w="1413" w:type="dxa"/>
            <w:vAlign w:val="center"/>
          </w:tcPr>
          <w:p w:rsidR="00640340" w:rsidRDefault="00640340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21583</w:t>
            </w:r>
          </w:p>
        </w:tc>
        <w:tc>
          <w:tcPr>
            <w:tcW w:w="7293" w:type="dxa"/>
            <w:vAlign w:val="center"/>
          </w:tcPr>
          <w:p w:rsidR="00640340" w:rsidRPr="00EF7915" w:rsidRDefault="00640340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640340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中欧中证港股通央企红利指数发起式证券投资基金(QDII)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 xml:space="preserve"> （A类份额）</w:t>
            </w:r>
          </w:p>
        </w:tc>
      </w:tr>
      <w:tr w:rsidR="00640340" w:rsidRPr="00EF7915" w:rsidTr="00093AD3">
        <w:trPr>
          <w:trHeight w:val="418"/>
        </w:trPr>
        <w:tc>
          <w:tcPr>
            <w:tcW w:w="1413" w:type="dxa"/>
            <w:vAlign w:val="center"/>
          </w:tcPr>
          <w:p w:rsidR="00640340" w:rsidRDefault="00640340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21584</w:t>
            </w:r>
          </w:p>
        </w:tc>
        <w:tc>
          <w:tcPr>
            <w:tcW w:w="7293" w:type="dxa"/>
            <w:vAlign w:val="center"/>
          </w:tcPr>
          <w:p w:rsidR="00640340" w:rsidRPr="00EF7915" w:rsidRDefault="00640340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640340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中欧中证港股通央企红利指数发起式证券投资基金(QDII)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 xml:space="preserve"> 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640340" w:rsidRPr="00EF7915" w:rsidTr="00093AD3">
        <w:trPr>
          <w:trHeight w:val="418"/>
        </w:trPr>
        <w:tc>
          <w:tcPr>
            <w:tcW w:w="1413" w:type="dxa"/>
            <w:vAlign w:val="center"/>
          </w:tcPr>
          <w:p w:rsidR="00640340" w:rsidRDefault="00640340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21759</w:t>
            </w:r>
          </w:p>
        </w:tc>
        <w:tc>
          <w:tcPr>
            <w:tcW w:w="7293" w:type="dxa"/>
            <w:vAlign w:val="center"/>
          </w:tcPr>
          <w:p w:rsidR="00640340" w:rsidRPr="00EF7915" w:rsidRDefault="00640340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640340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中欧中证港股通创新药指数发起式证券投资基金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（A类份额）</w:t>
            </w:r>
          </w:p>
        </w:tc>
      </w:tr>
      <w:tr w:rsidR="00640340" w:rsidRPr="00EF7915" w:rsidTr="00093AD3">
        <w:trPr>
          <w:trHeight w:val="418"/>
        </w:trPr>
        <w:tc>
          <w:tcPr>
            <w:tcW w:w="1413" w:type="dxa"/>
            <w:vAlign w:val="center"/>
          </w:tcPr>
          <w:p w:rsidR="00640340" w:rsidRDefault="00640340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21760</w:t>
            </w:r>
          </w:p>
        </w:tc>
        <w:tc>
          <w:tcPr>
            <w:tcW w:w="7293" w:type="dxa"/>
            <w:vAlign w:val="center"/>
          </w:tcPr>
          <w:p w:rsidR="00640340" w:rsidRPr="00EF7915" w:rsidRDefault="00640340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640340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中欧中证港股通创新药指数发起式证券投资基金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023034</w:t>
            </w:r>
          </w:p>
        </w:tc>
        <w:tc>
          <w:tcPr>
            <w:tcW w:w="7293" w:type="dxa"/>
            <w:vAlign w:val="center"/>
          </w:tcPr>
          <w:p w:rsidR="000223EF" w:rsidRPr="00640340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中欧恒生科技指数发起式证券投资基金(QDII)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 xml:space="preserve"> （A类份额）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023035</w:t>
            </w:r>
          </w:p>
        </w:tc>
        <w:tc>
          <w:tcPr>
            <w:tcW w:w="7293" w:type="dxa"/>
            <w:vAlign w:val="center"/>
          </w:tcPr>
          <w:p w:rsidR="000223EF" w:rsidRPr="00640340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中欧恒生科技指数发起式证券投资基金(QDII)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 xml:space="preserve"> 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023242</w:t>
            </w:r>
          </w:p>
        </w:tc>
        <w:tc>
          <w:tcPr>
            <w:tcW w:w="7293" w:type="dxa"/>
            <w:vAlign w:val="center"/>
          </w:tcPr>
          <w:p w:rsidR="000223EF" w:rsidRPr="00640340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中欧恒生消费指数发起式证券投资基金(QDII)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 xml:space="preserve"> （A类份额）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023243</w:t>
            </w:r>
          </w:p>
        </w:tc>
        <w:tc>
          <w:tcPr>
            <w:tcW w:w="7293" w:type="dxa"/>
            <w:vAlign w:val="center"/>
          </w:tcPr>
          <w:p w:rsidR="000223EF" w:rsidRPr="00640340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中欧恒生消费指数发起式证券投资基金(QDII)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 xml:space="preserve"> 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7C4ACA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7C4ACA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004616</w:t>
            </w:r>
          </w:p>
        </w:tc>
        <w:tc>
          <w:tcPr>
            <w:tcW w:w="7293" w:type="dxa"/>
            <w:vAlign w:val="center"/>
          </w:tcPr>
          <w:p w:rsidR="000223EF" w:rsidRPr="007C4ACA" w:rsidRDefault="007C4ACA" w:rsidP="007C4ACA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7C4ACA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中欧电子信息产业沪港深股票型证券投资基金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（A类份额）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7C4ACA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7C4ACA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005763</w:t>
            </w:r>
          </w:p>
        </w:tc>
        <w:tc>
          <w:tcPr>
            <w:tcW w:w="7293" w:type="dxa"/>
            <w:vAlign w:val="center"/>
          </w:tcPr>
          <w:p w:rsidR="000223EF" w:rsidRPr="007C4ACA" w:rsidRDefault="007C4ACA" w:rsidP="007C4ACA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7C4ACA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中欧电子信息产业沪港深股票型证券投资基金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024836</w:t>
            </w:r>
          </w:p>
        </w:tc>
        <w:tc>
          <w:tcPr>
            <w:tcW w:w="7293" w:type="dxa"/>
            <w:vAlign w:val="center"/>
          </w:tcPr>
          <w:p w:rsidR="000223EF" w:rsidRPr="00640340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中欧港股通科技混合型发起式证券投资基金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（A类份额）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024837</w:t>
            </w:r>
          </w:p>
        </w:tc>
        <w:tc>
          <w:tcPr>
            <w:tcW w:w="7293" w:type="dxa"/>
            <w:vAlign w:val="center"/>
          </w:tcPr>
          <w:p w:rsidR="000223EF" w:rsidRPr="00640340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中欧港股通科技混合型发起式证券投资基金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0</w:t>
            </w:r>
            <w:r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24590</w:t>
            </w:r>
          </w:p>
        </w:tc>
        <w:tc>
          <w:tcPr>
            <w:tcW w:w="7293" w:type="dxa"/>
            <w:vAlign w:val="center"/>
          </w:tcPr>
          <w:p w:rsidR="000223EF" w:rsidRPr="00640340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中欧港股通机遇混合型发起式证券投资基金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（A类份额）</w:t>
            </w:r>
          </w:p>
        </w:tc>
      </w:tr>
      <w:tr w:rsidR="000223EF" w:rsidRPr="00EF7915" w:rsidTr="00093AD3">
        <w:trPr>
          <w:trHeight w:val="418"/>
        </w:trPr>
        <w:tc>
          <w:tcPr>
            <w:tcW w:w="1413" w:type="dxa"/>
            <w:vAlign w:val="center"/>
          </w:tcPr>
          <w:p w:rsidR="000223EF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lastRenderedPageBreak/>
              <w:t>0</w:t>
            </w:r>
            <w:r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24591</w:t>
            </w:r>
          </w:p>
        </w:tc>
        <w:tc>
          <w:tcPr>
            <w:tcW w:w="7293" w:type="dxa"/>
            <w:vAlign w:val="center"/>
          </w:tcPr>
          <w:p w:rsidR="000223EF" w:rsidRPr="00640340" w:rsidRDefault="000223EF" w:rsidP="00093AD3">
            <w:pPr>
              <w:pStyle w:val="a3"/>
              <w:spacing w:before="35" w:line="357" w:lineRule="auto"/>
              <w:ind w:right="45" w:firstLine="479"/>
              <w:jc w:val="center"/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</w:pPr>
            <w:r w:rsidRPr="000223EF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中欧港股通机遇混合型发起式证券投资基金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（</w:t>
            </w:r>
            <w:r w:rsidRPr="00B27BC6">
              <w:rPr>
                <w:rFonts w:asciiTheme="majorEastAsia" w:eastAsiaTheme="majorEastAsia" w:hAnsiTheme="majorEastAsia"/>
                <w:spacing w:val="-7"/>
                <w:sz w:val="21"/>
                <w:szCs w:val="21"/>
                <w:lang w:eastAsia="zh-CN"/>
              </w:rPr>
              <w:t>C</w:t>
            </w:r>
            <w:r w:rsidRPr="00B27BC6">
              <w:rPr>
                <w:rFonts w:asciiTheme="majorEastAsia" w:eastAsiaTheme="majorEastAsia" w:hAnsiTheme="majorEastAsia" w:hint="eastAsia"/>
                <w:spacing w:val="-7"/>
                <w:sz w:val="21"/>
                <w:szCs w:val="21"/>
                <w:lang w:eastAsia="zh-CN"/>
              </w:rPr>
              <w:t>类份额）</w:t>
            </w:r>
          </w:p>
        </w:tc>
      </w:tr>
    </w:tbl>
    <w:p w:rsidR="00DF5FAE" w:rsidRPr="00EF7915" w:rsidRDefault="00DF5FAE" w:rsidP="00EF7915">
      <w:pPr>
        <w:pStyle w:val="a3"/>
        <w:spacing w:before="35" w:line="357" w:lineRule="auto"/>
        <w:ind w:right="45" w:firstLine="479"/>
        <w:jc w:val="center"/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</w:pPr>
    </w:p>
    <w:p w:rsidR="00DF5FAE" w:rsidRPr="008A5547" w:rsidRDefault="00DF5FAE" w:rsidP="00FC0761">
      <w:pPr>
        <w:pStyle w:val="a3"/>
        <w:spacing w:before="35" w:line="357" w:lineRule="auto"/>
        <w:ind w:right="45" w:firstLine="479"/>
        <w:jc w:val="both"/>
        <w:rPr>
          <w:rFonts w:asciiTheme="majorEastAsia" w:eastAsiaTheme="majorEastAsia" w:hAnsiTheme="majorEastAsia"/>
          <w:b/>
          <w:spacing w:val="-2"/>
          <w:sz w:val="21"/>
          <w:szCs w:val="21"/>
          <w:lang w:eastAsia="zh-CN"/>
        </w:rPr>
      </w:pPr>
      <w:r w:rsidRPr="008A5547">
        <w:rPr>
          <w:rFonts w:asciiTheme="majorEastAsia" w:eastAsiaTheme="majorEastAsia" w:hAnsiTheme="majorEastAsia" w:hint="eastAsia"/>
          <w:b/>
          <w:spacing w:val="-2"/>
          <w:sz w:val="21"/>
          <w:szCs w:val="21"/>
          <w:lang w:eastAsia="zh-CN"/>
        </w:rPr>
        <w:t>上述基金</w:t>
      </w:r>
      <w:r w:rsidR="00062D9D">
        <w:rPr>
          <w:rFonts w:asciiTheme="majorEastAsia" w:eastAsiaTheme="majorEastAsia" w:hAnsiTheme="majorEastAsia"/>
          <w:b/>
          <w:spacing w:val="-2"/>
          <w:sz w:val="21"/>
          <w:szCs w:val="21"/>
          <w:lang w:eastAsia="zh-CN"/>
        </w:rPr>
        <w:t>2026</w:t>
      </w:r>
      <w:r w:rsidRPr="008A5547">
        <w:rPr>
          <w:rFonts w:asciiTheme="majorEastAsia" w:eastAsiaTheme="majorEastAsia" w:hAnsiTheme="majorEastAsia" w:hint="eastAsia"/>
          <w:b/>
          <w:spacing w:val="-2"/>
          <w:sz w:val="21"/>
          <w:szCs w:val="21"/>
          <w:lang w:eastAsia="zh-CN"/>
        </w:rPr>
        <w:t>年非港股通交易日提示如下：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3"/>
        <w:gridCol w:w="1150"/>
        <w:gridCol w:w="6610"/>
      </w:tblGrid>
      <w:tr w:rsidR="007370AC" w:rsidRPr="006F2C18" w:rsidTr="002D5BFB">
        <w:trPr>
          <w:trHeight w:val="239"/>
          <w:tblHeader/>
          <w:jc w:val="center"/>
        </w:trPr>
        <w:tc>
          <w:tcPr>
            <w:tcW w:w="1113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7370AC" w:rsidRPr="008A5547" w:rsidRDefault="007370AC" w:rsidP="007370AC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b/>
                <w:color w:val="333333"/>
                <w:sz w:val="21"/>
                <w:szCs w:val="21"/>
                <w:lang w:eastAsia="zh-CN"/>
              </w:rPr>
            </w:pPr>
            <w:r w:rsidRPr="008A5547">
              <w:rPr>
                <w:rFonts w:asciiTheme="majorEastAsia" w:eastAsiaTheme="majorEastAsia" w:hAnsiTheme="majorEastAsia" w:hint="eastAsia"/>
                <w:b/>
                <w:color w:val="333333"/>
                <w:sz w:val="21"/>
                <w:szCs w:val="21"/>
                <w:lang w:eastAsia="zh-CN"/>
              </w:rPr>
              <w:t>年份</w:t>
            </w:r>
          </w:p>
        </w:tc>
        <w:tc>
          <w:tcPr>
            <w:tcW w:w="115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7370AC" w:rsidRPr="008A5547" w:rsidRDefault="007370AC" w:rsidP="007370AC">
            <w:pPr>
              <w:widowControl/>
              <w:wordWrap w:val="0"/>
              <w:autoSpaceDE/>
              <w:autoSpaceDN/>
              <w:jc w:val="center"/>
              <w:rPr>
                <w:rFonts w:asciiTheme="majorEastAsia" w:eastAsiaTheme="majorEastAsia" w:hAnsiTheme="majorEastAsia"/>
                <w:b/>
                <w:color w:val="333333"/>
                <w:sz w:val="21"/>
                <w:szCs w:val="21"/>
                <w:lang w:eastAsia="zh-CN"/>
              </w:rPr>
            </w:pPr>
            <w:r w:rsidRPr="008A5547">
              <w:rPr>
                <w:rFonts w:asciiTheme="majorEastAsia" w:eastAsiaTheme="majorEastAsia" w:hAnsiTheme="majorEastAsia" w:hint="eastAsia"/>
                <w:b/>
                <w:color w:val="333333"/>
                <w:sz w:val="21"/>
                <w:szCs w:val="21"/>
                <w:lang w:eastAsia="zh-CN"/>
              </w:rPr>
              <w:t>月份</w:t>
            </w:r>
          </w:p>
        </w:tc>
        <w:tc>
          <w:tcPr>
            <w:tcW w:w="661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7370AC" w:rsidRPr="008A5547" w:rsidRDefault="007370AC" w:rsidP="008A5547">
            <w:pPr>
              <w:widowControl/>
              <w:wordWrap w:val="0"/>
              <w:autoSpaceDE/>
              <w:autoSpaceDN/>
              <w:jc w:val="center"/>
              <w:rPr>
                <w:rFonts w:asciiTheme="majorEastAsia" w:eastAsiaTheme="majorEastAsia" w:hAnsiTheme="majorEastAsia"/>
                <w:b/>
                <w:color w:val="333333"/>
                <w:sz w:val="21"/>
                <w:szCs w:val="21"/>
                <w:lang w:eastAsia="zh-CN"/>
              </w:rPr>
            </w:pPr>
            <w:r w:rsidRPr="008A5547">
              <w:rPr>
                <w:rFonts w:asciiTheme="majorEastAsia" w:eastAsiaTheme="majorEastAsia" w:hAnsiTheme="majorEastAsia"/>
                <w:b/>
                <w:color w:val="333333"/>
                <w:sz w:val="21"/>
                <w:szCs w:val="21"/>
                <w:lang w:eastAsia="zh-CN"/>
              </w:rPr>
              <w:t>202</w:t>
            </w:r>
            <w:r w:rsidR="004E2D71">
              <w:rPr>
                <w:rFonts w:asciiTheme="majorEastAsia" w:eastAsiaTheme="majorEastAsia" w:hAnsiTheme="majorEastAsia"/>
                <w:b/>
                <w:color w:val="333333"/>
                <w:sz w:val="21"/>
                <w:szCs w:val="21"/>
                <w:lang w:eastAsia="zh-CN"/>
              </w:rPr>
              <w:t>6</w:t>
            </w:r>
            <w:r w:rsidRPr="008A5547">
              <w:rPr>
                <w:rFonts w:asciiTheme="majorEastAsia" w:eastAsiaTheme="majorEastAsia" w:hAnsiTheme="majorEastAsia"/>
                <w:b/>
                <w:color w:val="333333"/>
                <w:sz w:val="21"/>
                <w:szCs w:val="21"/>
                <w:lang w:eastAsia="zh-CN"/>
              </w:rPr>
              <w:t>年</w:t>
            </w:r>
            <w:r w:rsidRPr="008A5547">
              <w:rPr>
                <w:rFonts w:asciiTheme="majorEastAsia" w:eastAsiaTheme="majorEastAsia" w:hAnsiTheme="majorEastAsia" w:hint="eastAsia"/>
                <w:b/>
                <w:color w:val="333333"/>
                <w:sz w:val="21"/>
                <w:szCs w:val="21"/>
                <w:lang w:eastAsia="zh-CN"/>
              </w:rPr>
              <w:t>非港股通交易日</w:t>
            </w:r>
          </w:p>
        </w:tc>
      </w:tr>
      <w:tr w:rsidR="00326EC0" w:rsidRPr="006F2C18" w:rsidTr="002D5BFB">
        <w:trPr>
          <w:trHeight w:val="263"/>
          <w:jc w:val="center"/>
        </w:trPr>
        <w:tc>
          <w:tcPr>
            <w:tcW w:w="1113" w:type="dxa"/>
            <w:vMerge w:val="restart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326EC0" w:rsidRPr="007370AC" w:rsidRDefault="00326EC0" w:rsidP="008A554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202</w:t>
            </w:r>
            <w:r w:rsidR="00062D9D"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6</w:t>
            </w:r>
            <w:r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15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326EC0" w:rsidRPr="007370AC" w:rsidRDefault="002D5BFB" w:rsidP="00326EC0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4</w:t>
            </w:r>
            <w:r w:rsidR="00326EC0"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661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326EC0" w:rsidRPr="007370AC" w:rsidRDefault="00062D9D" w:rsidP="008A554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3</w:t>
            </w:r>
            <w:r w:rsidR="00326EC0"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日</w:t>
            </w:r>
            <w:r w:rsidR="002D5BFB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、</w:t>
            </w:r>
            <w:r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7</w:t>
            </w:r>
            <w:r w:rsidR="002D5BFB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日</w:t>
            </w:r>
            <w:r w:rsidR="0036195B"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（香港耶稣受难节、复活节）</w:t>
            </w:r>
          </w:p>
        </w:tc>
      </w:tr>
      <w:tr w:rsidR="00062D9D" w:rsidRPr="006F2C18" w:rsidTr="002D5BFB">
        <w:trPr>
          <w:trHeight w:val="263"/>
          <w:jc w:val="center"/>
        </w:trPr>
        <w:tc>
          <w:tcPr>
            <w:tcW w:w="1113" w:type="dxa"/>
            <w:vMerge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062D9D" w:rsidRPr="007370AC" w:rsidRDefault="00062D9D" w:rsidP="008A554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15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062D9D" w:rsidRDefault="00062D9D" w:rsidP="00326EC0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5月</w:t>
            </w:r>
          </w:p>
        </w:tc>
        <w:tc>
          <w:tcPr>
            <w:tcW w:w="661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062D9D" w:rsidRDefault="00062D9D" w:rsidP="008A554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5</w:t>
            </w:r>
            <w:r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日（</w:t>
            </w:r>
            <w:r>
              <w:rPr>
                <w:rFonts w:hint="eastAsia"/>
                <w:color w:val="333333"/>
                <w:shd w:val="clear" w:color="auto" w:fill="FFFFFF"/>
              </w:rPr>
              <w:t>香港佛诞日</w:t>
            </w:r>
            <w:r>
              <w:rPr>
                <w:rFonts w:hint="eastAsia"/>
                <w:color w:val="333333"/>
                <w:shd w:val="clear" w:color="auto" w:fill="FFFFFF"/>
                <w:lang w:eastAsia="zh-CN"/>
              </w:rPr>
              <w:t>）</w:t>
            </w:r>
          </w:p>
        </w:tc>
      </w:tr>
      <w:tr w:rsidR="007F6233" w:rsidRPr="006F2C18" w:rsidTr="002D5BFB">
        <w:trPr>
          <w:trHeight w:val="290"/>
          <w:jc w:val="center"/>
        </w:trPr>
        <w:tc>
          <w:tcPr>
            <w:tcW w:w="1113" w:type="dxa"/>
            <w:vMerge/>
            <w:shd w:val="clear" w:color="auto" w:fill="auto"/>
            <w:vAlign w:val="center"/>
          </w:tcPr>
          <w:p w:rsidR="007F6233" w:rsidRPr="007370AC" w:rsidRDefault="007F6233" w:rsidP="007370AC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15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7F6233" w:rsidRPr="007370AC" w:rsidRDefault="0036195B" w:rsidP="007370AC">
            <w:pPr>
              <w:widowControl/>
              <w:wordWrap w:val="0"/>
              <w:autoSpaceDE/>
              <w:autoSpaceDN/>
              <w:spacing w:line="330" w:lineRule="atLeast"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7</w:t>
            </w:r>
            <w:r w:rsidR="007F6233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661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7F6233" w:rsidRPr="007370AC" w:rsidRDefault="0036195B" w:rsidP="007370AC">
            <w:pPr>
              <w:widowControl/>
              <w:wordWrap w:val="0"/>
              <w:autoSpaceDE/>
              <w:autoSpaceDN/>
              <w:spacing w:line="330" w:lineRule="atLeast"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1</w:t>
            </w:r>
            <w:r w:rsidR="007F6233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日（</w:t>
            </w:r>
            <w:r>
              <w:rPr>
                <w:rFonts w:hint="eastAsia"/>
                <w:color w:val="333333"/>
                <w:shd w:val="clear" w:color="auto" w:fill="FFFFFF"/>
                <w:lang w:eastAsia="zh-CN"/>
              </w:rPr>
              <w:t>香港特别行政区成立纪念日</w:t>
            </w:r>
            <w:r w:rsidR="007F6233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）</w:t>
            </w:r>
          </w:p>
        </w:tc>
      </w:tr>
      <w:tr w:rsidR="007F6233" w:rsidRPr="006F2C18" w:rsidTr="002D5BFB">
        <w:trPr>
          <w:trHeight w:val="263"/>
          <w:jc w:val="center"/>
        </w:trPr>
        <w:tc>
          <w:tcPr>
            <w:tcW w:w="1113" w:type="dxa"/>
            <w:vMerge/>
            <w:shd w:val="clear" w:color="auto" w:fill="auto"/>
            <w:vAlign w:val="center"/>
          </w:tcPr>
          <w:p w:rsidR="007F6233" w:rsidRPr="007370AC" w:rsidRDefault="007F6233" w:rsidP="007370AC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15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7F6233" w:rsidRPr="007370AC" w:rsidRDefault="007F6233" w:rsidP="007370AC">
            <w:pPr>
              <w:widowControl/>
              <w:wordWrap w:val="0"/>
              <w:autoSpaceDE/>
              <w:autoSpaceDN/>
              <w:spacing w:line="330" w:lineRule="atLeast"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0</w:t>
            </w:r>
            <w:r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661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7F6233" w:rsidRPr="007370AC" w:rsidRDefault="00062D9D" w:rsidP="007370AC">
            <w:pPr>
              <w:widowControl/>
              <w:wordWrap w:val="0"/>
              <w:autoSpaceDE/>
              <w:autoSpaceDN/>
              <w:spacing w:line="330" w:lineRule="atLeast"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1</w:t>
            </w:r>
            <w:r w:rsidR="002D5BFB"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9</w:t>
            </w:r>
            <w:r w:rsidR="007F6233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日（香港重阳节）</w:t>
            </w:r>
          </w:p>
        </w:tc>
      </w:tr>
      <w:tr w:rsidR="00326EC0" w:rsidRPr="006F2C18" w:rsidTr="002D5BFB">
        <w:trPr>
          <w:trHeight w:val="263"/>
          <w:jc w:val="center"/>
        </w:trPr>
        <w:tc>
          <w:tcPr>
            <w:tcW w:w="1113" w:type="dxa"/>
            <w:vMerge/>
            <w:shd w:val="clear" w:color="auto" w:fill="auto"/>
            <w:vAlign w:val="center"/>
            <w:hideMark/>
          </w:tcPr>
          <w:p w:rsidR="00326EC0" w:rsidRPr="007370AC" w:rsidRDefault="00326EC0" w:rsidP="007370AC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115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326EC0" w:rsidRPr="007370AC" w:rsidRDefault="00326EC0" w:rsidP="007370AC">
            <w:pPr>
              <w:widowControl/>
              <w:wordWrap w:val="0"/>
              <w:autoSpaceDE/>
              <w:autoSpaceDN/>
              <w:spacing w:line="330" w:lineRule="atLeast"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12月</w:t>
            </w:r>
          </w:p>
        </w:tc>
        <w:tc>
          <w:tcPr>
            <w:tcW w:w="6610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  <w:hideMark/>
          </w:tcPr>
          <w:p w:rsidR="00326EC0" w:rsidRPr="007370AC" w:rsidRDefault="00853E2A" w:rsidP="00853E2A">
            <w:pPr>
              <w:widowControl/>
              <w:wordWrap w:val="0"/>
              <w:autoSpaceDE/>
              <w:autoSpaceDN/>
              <w:spacing w:line="330" w:lineRule="atLeast"/>
              <w:jc w:val="center"/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</w:pPr>
            <w:r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4</w:t>
            </w:r>
            <w:r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日</w:t>
            </w:r>
            <w:r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、</w:t>
            </w:r>
            <w:r w:rsidR="00326EC0"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2</w:t>
            </w:r>
            <w:r w:rsidR="007F6233"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5</w:t>
            </w:r>
            <w:r w:rsidR="00326EC0"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日、</w:t>
            </w:r>
            <w:r w:rsidR="002D5BFB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3</w:t>
            </w:r>
            <w:r w:rsidR="002D5BFB">
              <w:rPr>
                <w:rFonts w:asciiTheme="majorEastAsia" w:eastAsiaTheme="majorEastAsia" w:hAnsiTheme="majorEastAsia"/>
                <w:color w:val="333333"/>
                <w:sz w:val="21"/>
                <w:szCs w:val="21"/>
                <w:lang w:eastAsia="zh-CN"/>
              </w:rPr>
              <w:t>1</w:t>
            </w:r>
            <w:r w:rsidR="002D5BFB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日</w:t>
            </w:r>
            <w:r w:rsidR="00326EC0"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（香港圣诞节</w:t>
            </w:r>
            <w:r w:rsidR="002D5BFB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、香港新年前夕</w:t>
            </w:r>
            <w:r w:rsidR="00326EC0" w:rsidRPr="007370AC">
              <w:rPr>
                <w:rFonts w:asciiTheme="majorEastAsia" w:eastAsiaTheme="majorEastAsia" w:hAnsiTheme="majorEastAsia" w:hint="eastAsia"/>
                <w:color w:val="333333"/>
                <w:sz w:val="21"/>
                <w:szCs w:val="21"/>
                <w:lang w:eastAsia="zh-CN"/>
              </w:rPr>
              <w:t>）</w:t>
            </w:r>
          </w:p>
        </w:tc>
      </w:tr>
    </w:tbl>
    <w:p w:rsidR="00D773C2" w:rsidRPr="009F1E28" w:rsidRDefault="00250E7D" w:rsidP="00555386">
      <w:pPr>
        <w:pStyle w:val="Default"/>
        <w:spacing w:line="360" w:lineRule="auto"/>
        <w:ind w:firstLineChars="200" w:firstLine="420"/>
        <w:rPr>
          <w:rFonts w:asciiTheme="majorEastAsia" w:eastAsiaTheme="majorEastAsia" w:hAnsiTheme="majorEastAsia" w:cs="Times New Roman"/>
          <w:sz w:val="21"/>
          <w:szCs w:val="21"/>
        </w:rPr>
      </w:pPr>
      <w:r w:rsidRPr="009F1E28">
        <w:rPr>
          <w:rFonts w:asciiTheme="majorEastAsia" w:eastAsiaTheme="majorEastAsia" w:hAnsiTheme="majorEastAsia" w:cs="Times New Roman" w:hint="eastAsia"/>
          <w:sz w:val="21"/>
          <w:szCs w:val="21"/>
        </w:rPr>
        <w:t>注</w:t>
      </w:r>
      <w:r w:rsidRPr="009F1E28">
        <w:rPr>
          <w:rFonts w:asciiTheme="majorEastAsia" w:eastAsiaTheme="majorEastAsia" w:hAnsiTheme="majorEastAsia" w:cs="Times New Roman"/>
          <w:sz w:val="21"/>
          <w:szCs w:val="21"/>
        </w:rPr>
        <w:t>：</w:t>
      </w:r>
      <w:r w:rsidR="00253BDC" w:rsidRPr="009F1E28">
        <w:rPr>
          <w:rFonts w:asciiTheme="majorEastAsia" w:eastAsiaTheme="majorEastAsia" w:hAnsiTheme="majorEastAsia" w:cs="Times New Roman"/>
          <w:sz w:val="21"/>
          <w:szCs w:val="21"/>
        </w:rPr>
        <w:t>1.</w:t>
      </w:r>
      <w:r w:rsidR="00D773C2" w:rsidRPr="009F1E28">
        <w:rPr>
          <w:rFonts w:asciiTheme="majorEastAsia" w:eastAsiaTheme="majorEastAsia" w:hAnsiTheme="majorEastAsia" w:cs="Times New Roman" w:hint="eastAsia"/>
          <w:sz w:val="21"/>
          <w:szCs w:val="21"/>
        </w:rPr>
        <w:t>关于非港股通交易日的具体安排以上海证券交易所、深圳证券交易所发布的通知为准；</w:t>
      </w:r>
    </w:p>
    <w:p w:rsidR="00555386" w:rsidRDefault="00253BDC" w:rsidP="00555386">
      <w:pPr>
        <w:pStyle w:val="Default"/>
        <w:spacing w:line="360" w:lineRule="auto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9F1E28">
        <w:rPr>
          <w:rFonts w:asciiTheme="majorEastAsia" w:eastAsiaTheme="majorEastAsia" w:hAnsiTheme="majorEastAsia" w:cs="Times New Roman"/>
          <w:sz w:val="21"/>
          <w:szCs w:val="21"/>
        </w:rPr>
        <w:t>2.</w:t>
      </w:r>
      <w:r w:rsidR="00D773C2" w:rsidRPr="009F1E28">
        <w:rPr>
          <w:rFonts w:asciiTheme="majorEastAsia" w:eastAsiaTheme="majorEastAsia" w:hAnsiTheme="majorEastAsia" w:cs="Times New Roman" w:hint="eastAsia"/>
          <w:sz w:val="21"/>
          <w:szCs w:val="21"/>
        </w:rPr>
        <w:t>上述日期已剔除和</w:t>
      </w:r>
      <w:r w:rsidR="00766077" w:rsidRPr="009F1E28">
        <w:rPr>
          <w:rFonts w:asciiTheme="majorEastAsia" w:eastAsiaTheme="majorEastAsia" w:hAnsiTheme="majorEastAsia" w:cs="Times New Roman" w:hint="eastAsia"/>
          <w:sz w:val="21"/>
          <w:szCs w:val="21"/>
        </w:rPr>
        <w:t>境内</w:t>
      </w:r>
      <w:r w:rsidR="00D773C2" w:rsidRPr="009F1E28">
        <w:rPr>
          <w:rFonts w:asciiTheme="majorEastAsia" w:eastAsiaTheme="majorEastAsia" w:hAnsiTheme="majorEastAsia" w:cs="Times New Roman" w:hint="eastAsia"/>
          <w:sz w:val="21"/>
          <w:szCs w:val="21"/>
        </w:rPr>
        <w:t>休市日重合的日期</w:t>
      </w:r>
      <w:r w:rsidR="00D773C2" w:rsidRPr="009F1E28">
        <w:rPr>
          <w:rFonts w:asciiTheme="majorEastAsia" w:eastAsiaTheme="majorEastAsia" w:hAnsiTheme="majorEastAsia" w:hint="eastAsia"/>
          <w:sz w:val="21"/>
          <w:szCs w:val="21"/>
        </w:rPr>
        <w:t>；</w:t>
      </w:r>
    </w:p>
    <w:p w:rsidR="00555386" w:rsidRDefault="00253BDC" w:rsidP="00555386">
      <w:pPr>
        <w:pStyle w:val="Default"/>
        <w:spacing w:line="360" w:lineRule="auto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9F1E28">
        <w:rPr>
          <w:rFonts w:asciiTheme="majorEastAsia" w:eastAsiaTheme="majorEastAsia" w:hAnsiTheme="majorEastAsia"/>
          <w:sz w:val="21"/>
          <w:szCs w:val="21"/>
        </w:rPr>
        <w:t>3.</w:t>
      </w:r>
      <w:r w:rsidR="00255724">
        <w:rPr>
          <w:rFonts w:asciiTheme="majorEastAsia" w:eastAsiaTheme="majorEastAsia" w:hAnsiTheme="majorEastAsia" w:hint="eastAsia"/>
          <w:sz w:val="21"/>
          <w:szCs w:val="21"/>
        </w:rPr>
        <w:t>上述</w:t>
      </w:r>
      <w:r w:rsidR="00524F18">
        <w:rPr>
          <w:rFonts w:asciiTheme="majorEastAsia" w:eastAsiaTheme="majorEastAsia" w:hAnsiTheme="majorEastAsia" w:hint="eastAsia"/>
          <w:sz w:val="21"/>
          <w:szCs w:val="21"/>
        </w:rPr>
        <w:t>基金的申赎业务规则详见法律文件及相关公告；</w:t>
      </w:r>
    </w:p>
    <w:p w:rsidR="00D773C2" w:rsidRPr="009F1E28" w:rsidRDefault="00524F18" w:rsidP="00555386">
      <w:pPr>
        <w:pStyle w:val="Default"/>
        <w:spacing w:line="360" w:lineRule="auto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4</w:t>
      </w:r>
      <w:r w:rsidR="00261FE2">
        <w:rPr>
          <w:rFonts w:asciiTheme="majorEastAsia" w:eastAsiaTheme="majorEastAsia" w:hAnsiTheme="majorEastAsia" w:hint="eastAsia"/>
          <w:sz w:val="21"/>
          <w:szCs w:val="21"/>
        </w:rPr>
        <w:t>.</w:t>
      </w:r>
      <w:r w:rsidR="00D773C2" w:rsidRPr="009F1E28">
        <w:rPr>
          <w:rFonts w:asciiTheme="majorEastAsia" w:eastAsiaTheme="majorEastAsia" w:hAnsiTheme="majorEastAsia" w:hint="eastAsia"/>
          <w:sz w:val="21"/>
          <w:szCs w:val="21"/>
        </w:rPr>
        <w:t>如</w:t>
      </w:r>
      <w:r w:rsidR="00255724">
        <w:rPr>
          <w:rFonts w:asciiTheme="majorEastAsia" w:eastAsiaTheme="majorEastAsia" w:hAnsiTheme="majorEastAsia" w:hint="eastAsia"/>
          <w:sz w:val="21"/>
          <w:szCs w:val="21"/>
        </w:rPr>
        <w:t>上述</w:t>
      </w:r>
      <w:r w:rsidR="00D773C2" w:rsidRPr="009F1E28">
        <w:rPr>
          <w:rFonts w:asciiTheme="majorEastAsia" w:eastAsiaTheme="majorEastAsia" w:hAnsiTheme="majorEastAsia" w:hint="eastAsia"/>
          <w:sz w:val="21"/>
          <w:szCs w:val="21"/>
        </w:rPr>
        <w:t>基金调整上述业务时，本公司将另行公告。</w:t>
      </w:r>
    </w:p>
    <w:p w:rsidR="00D45D1B" w:rsidRDefault="00250E7D" w:rsidP="006B42C5">
      <w:pPr>
        <w:pStyle w:val="a3"/>
        <w:spacing w:before="35" w:line="357" w:lineRule="auto"/>
        <w:ind w:right="45" w:firstLine="479"/>
        <w:jc w:val="both"/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</w:pP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敬请投资者仔细阅读</w:t>
      </w:r>
      <w:r w:rsidR="00255724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上述基金</w:t>
      </w: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基金合同、基金招募说明书等法律文件，及早做好交易安排，避免因</w:t>
      </w:r>
      <w:r w:rsidR="00255724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上述</w:t>
      </w: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基金暂停申购</w:t>
      </w:r>
      <w:r w:rsidR="0043234C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、</w:t>
      </w:r>
      <w:r w:rsidR="00524F18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赎回</w:t>
      </w: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、转换</w:t>
      </w:r>
      <w:r w:rsidR="0043234C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及定期定额投资</w:t>
      </w: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业务所带来不便。</w:t>
      </w:r>
      <w:r w:rsidRPr="009F1E28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投资者可登陆本公司网站</w:t>
      </w:r>
      <w:r w:rsidRPr="009F1E28"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  <w:t>www.zofund.com，或拨打本公司客服电话400-700-9700、021-68609700咨询相关信息。</w:t>
      </w:r>
    </w:p>
    <w:p w:rsidR="004469EB" w:rsidRPr="009F1E28" w:rsidRDefault="004469EB" w:rsidP="006B42C5">
      <w:pPr>
        <w:pStyle w:val="a3"/>
        <w:spacing w:before="35" w:line="357" w:lineRule="auto"/>
        <w:ind w:right="45" w:firstLine="479"/>
        <w:jc w:val="both"/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</w:pPr>
    </w:p>
    <w:p w:rsidR="00D45D1B" w:rsidRDefault="006B42C5" w:rsidP="006B42C5">
      <w:pPr>
        <w:pStyle w:val="a3"/>
        <w:spacing w:before="35" w:line="357" w:lineRule="auto"/>
        <w:ind w:right="45" w:firstLine="479"/>
        <w:jc w:val="both"/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</w:pPr>
      <w:r w:rsidRPr="009F1E28">
        <w:rPr>
          <w:rFonts w:asciiTheme="majorEastAsia" w:eastAsiaTheme="majorEastAsia" w:hAnsiTheme="majorEastAsia" w:hint="eastAsia"/>
          <w:spacing w:val="-7"/>
          <w:sz w:val="21"/>
          <w:szCs w:val="21"/>
          <w:lang w:eastAsia="zh-CN"/>
        </w:rPr>
        <w:t>特此公告。</w:t>
      </w:r>
    </w:p>
    <w:p w:rsidR="00850577" w:rsidRDefault="00850577" w:rsidP="006B42C5">
      <w:pPr>
        <w:pStyle w:val="a3"/>
        <w:spacing w:before="35" w:line="357" w:lineRule="auto"/>
        <w:ind w:right="45" w:firstLine="479"/>
        <w:jc w:val="both"/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</w:pPr>
    </w:p>
    <w:p w:rsidR="00850577" w:rsidRPr="009F1E28" w:rsidRDefault="00850577" w:rsidP="006B42C5">
      <w:pPr>
        <w:pStyle w:val="a3"/>
        <w:spacing w:before="35" w:line="357" w:lineRule="auto"/>
        <w:ind w:right="45" w:firstLine="479"/>
        <w:jc w:val="both"/>
        <w:rPr>
          <w:rFonts w:asciiTheme="majorEastAsia" w:eastAsiaTheme="majorEastAsia" w:hAnsiTheme="majorEastAsia"/>
          <w:spacing w:val="-7"/>
          <w:sz w:val="21"/>
          <w:szCs w:val="21"/>
          <w:lang w:eastAsia="zh-CN"/>
        </w:rPr>
      </w:pPr>
    </w:p>
    <w:p w:rsidR="00D45D1B" w:rsidRPr="009F1E28" w:rsidRDefault="00250E7D" w:rsidP="006B42C5">
      <w:pPr>
        <w:pStyle w:val="a3"/>
        <w:ind w:right="45"/>
        <w:jc w:val="right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9F1E28">
        <w:rPr>
          <w:rFonts w:asciiTheme="majorEastAsia" w:eastAsiaTheme="majorEastAsia" w:hAnsiTheme="majorEastAsia" w:hint="eastAsia"/>
          <w:sz w:val="21"/>
          <w:szCs w:val="21"/>
          <w:lang w:eastAsia="zh-CN"/>
        </w:rPr>
        <w:t>中欧</w:t>
      </w:r>
      <w:r w:rsidR="00DE45D6" w:rsidRPr="009F1E28">
        <w:rPr>
          <w:rFonts w:asciiTheme="majorEastAsia" w:eastAsiaTheme="majorEastAsia" w:hAnsiTheme="majorEastAsia"/>
          <w:sz w:val="21"/>
          <w:szCs w:val="21"/>
          <w:lang w:eastAsia="zh-CN"/>
        </w:rPr>
        <w:t>基金管理有限公司</w:t>
      </w:r>
    </w:p>
    <w:p w:rsidR="00D45D1B" w:rsidRPr="009F1E28" w:rsidRDefault="006B42C5" w:rsidP="006B42C5">
      <w:pPr>
        <w:pStyle w:val="a3"/>
        <w:spacing w:before="153"/>
        <w:ind w:right="45"/>
        <w:jc w:val="right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9F1E28">
        <w:rPr>
          <w:rFonts w:asciiTheme="majorEastAsia" w:eastAsiaTheme="majorEastAsia" w:hAnsiTheme="majorEastAsia" w:hint="eastAsia"/>
          <w:sz w:val="21"/>
          <w:szCs w:val="21"/>
          <w:lang w:eastAsia="zh-CN"/>
        </w:rPr>
        <w:t>二零二</w:t>
      </w:r>
      <w:r w:rsidR="00062D9D">
        <w:rPr>
          <w:rFonts w:asciiTheme="majorEastAsia" w:eastAsiaTheme="majorEastAsia" w:hAnsiTheme="majorEastAsia" w:hint="eastAsia"/>
          <w:sz w:val="21"/>
          <w:szCs w:val="21"/>
          <w:lang w:eastAsia="zh-CN"/>
        </w:rPr>
        <w:t>五</w:t>
      </w:r>
      <w:r w:rsidR="00DE45D6" w:rsidRPr="009F1E28">
        <w:rPr>
          <w:rFonts w:asciiTheme="majorEastAsia" w:eastAsiaTheme="majorEastAsia" w:hAnsiTheme="majorEastAsia"/>
          <w:sz w:val="21"/>
          <w:szCs w:val="21"/>
          <w:lang w:eastAsia="zh-CN"/>
        </w:rPr>
        <w:t>年</w:t>
      </w:r>
      <w:r w:rsidR="00DF5FAE">
        <w:rPr>
          <w:rFonts w:asciiTheme="majorEastAsia" w:eastAsiaTheme="majorEastAsia" w:hAnsiTheme="majorEastAsia" w:hint="eastAsia"/>
          <w:sz w:val="21"/>
          <w:szCs w:val="21"/>
          <w:lang w:eastAsia="zh-CN"/>
        </w:rPr>
        <w:t>十二</w:t>
      </w:r>
      <w:r w:rsidR="00DE45D6" w:rsidRPr="009F1E28">
        <w:rPr>
          <w:rFonts w:asciiTheme="majorEastAsia" w:eastAsiaTheme="majorEastAsia" w:hAnsiTheme="majorEastAsia"/>
          <w:sz w:val="21"/>
          <w:szCs w:val="21"/>
          <w:lang w:eastAsia="zh-CN"/>
        </w:rPr>
        <w:t>月</w:t>
      </w:r>
      <w:r w:rsidR="00326EC0">
        <w:rPr>
          <w:rFonts w:asciiTheme="majorEastAsia" w:eastAsiaTheme="majorEastAsia" w:hAnsiTheme="majorEastAsia" w:hint="eastAsia"/>
          <w:sz w:val="21"/>
          <w:szCs w:val="21"/>
          <w:lang w:eastAsia="zh-CN"/>
        </w:rPr>
        <w:t>二十</w:t>
      </w:r>
      <w:r w:rsidR="00062D9D">
        <w:rPr>
          <w:rFonts w:asciiTheme="majorEastAsia" w:eastAsiaTheme="majorEastAsia" w:hAnsiTheme="majorEastAsia" w:hint="eastAsia"/>
          <w:sz w:val="21"/>
          <w:szCs w:val="21"/>
          <w:lang w:eastAsia="zh-CN"/>
        </w:rPr>
        <w:t>六</w:t>
      </w:r>
      <w:r w:rsidR="00DE45D6" w:rsidRPr="009F1E28">
        <w:rPr>
          <w:rFonts w:asciiTheme="majorEastAsia" w:eastAsiaTheme="majorEastAsia" w:hAnsiTheme="majorEastAsia"/>
          <w:sz w:val="21"/>
          <w:szCs w:val="21"/>
          <w:lang w:eastAsia="zh-CN"/>
        </w:rPr>
        <w:t>日</w:t>
      </w:r>
    </w:p>
    <w:sectPr w:rsidR="00D45D1B" w:rsidRPr="009F1E28" w:rsidSect="00750EC7">
      <w:pgSz w:w="11910" w:h="16840"/>
      <w:pgMar w:top="1440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ED" w:rsidRDefault="002A3BED" w:rsidP="00D773C2">
      <w:r>
        <w:separator/>
      </w:r>
    </w:p>
  </w:endnote>
  <w:endnote w:type="continuationSeparator" w:id="0">
    <w:p w:rsidR="002A3BED" w:rsidRDefault="002A3BED" w:rsidP="00D77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ED" w:rsidRDefault="002A3BED" w:rsidP="00D773C2">
      <w:r>
        <w:separator/>
      </w:r>
    </w:p>
  </w:footnote>
  <w:footnote w:type="continuationSeparator" w:id="0">
    <w:p w:rsidR="002A3BED" w:rsidRDefault="002A3BED" w:rsidP="00D77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A76AD"/>
    <w:multiLevelType w:val="hybridMultilevel"/>
    <w:tmpl w:val="02748F82"/>
    <w:lvl w:ilvl="0" w:tplc="03EAA78C">
      <w:start w:val="1"/>
      <w:numFmt w:val="decimal"/>
      <w:lvlText w:val="%1）"/>
      <w:lvlJc w:val="left"/>
      <w:pPr>
        <w:ind w:left="360" w:hanging="360"/>
      </w:pPr>
      <w:rPr>
        <w:rFonts w:ascii="Times New Roman" w:eastAsiaTheme="minorEastAsia" w:hAnsi="Times New Roman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APWAFVersion" w:val="5.0"/>
  </w:docVars>
  <w:rsids>
    <w:rsidRoot w:val="00D45D1B"/>
    <w:rsid w:val="000223EF"/>
    <w:rsid w:val="00062D9D"/>
    <w:rsid w:val="00093AD3"/>
    <w:rsid w:val="000C6F2A"/>
    <w:rsid w:val="000E0358"/>
    <w:rsid w:val="000E66B8"/>
    <w:rsid w:val="000F1A24"/>
    <w:rsid w:val="001479FC"/>
    <w:rsid w:val="00161B6B"/>
    <w:rsid w:val="001E5800"/>
    <w:rsid w:val="001F2202"/>
    <w:rsid w:val="00250E7D"/>
    <w:rsid w:val="00253BDC"/>
    <w:rsid w:val="00255724"/>
    <w:rsid w:val="00261FE2"/>
    <w:rsid w:val="00263F6A"/>
    <w:rsid w:val="00280744"/>
    <w:rsid w:val="00296E73"/>
    <w:rsid w:val="002A3BED"/>
    <w:rsid w:val="002D5BFB"/>
    <w:rsid w:val="002F120D"/>
    <w:rsid w:val="00326EC0"/>
    <w:rsid w:val="0036195B"/>
    <w:rsid w:val="00375397"/>
    <w:rsid w:val="00384101"/>
    <w:rsid w:val="0038521A"/>
    <w:rsid w:val="003D1D01"/>
    <w:rsid w:val="003E1C2F"/>
    <w:rsid w:val="003E3278"/>
    <w:rsid w:val="00404221"/>
    <w:rsid w:val="0043234C"/>
    <w:rsid w:val="004469EB"/>
    <w:rsid w:val="004643AF"/>
    <w:rsid w:val="004650B6"/>
    <w:rsid w:val="004D76F5"/>
    <w:rsid w:val="004E2D71"/>
    <w:rsid w:val="005021FD"/>
    <w:rsid w:val="00524F18"/>
    <w:rsid w:val="00555386"/>
    <w:rsid w:val="00561A5B"/>
    <w:rsid w:val="005C55D1"/>
    <w:rsid w:val="00607D97"/>
    <w:rsid w:val="00613944"/>
    <w:rsid w:val="00616DA2"/>
    <w:rsid w:val="0062190D"/>
    <w:rsid w:val="00640340"/>
    <w:rsid w:val="006726E1"/>
    <w:rsid w:val="006B42C5"/>
    <w:rsid w:val="006B5C1F"/>
    <w:rsid w:val="006E2F96"/>
    <w:rsid w:val="007370AC"/>
    <w:rsid w:val="00745979"/>
    <w:rsid w:val="00745F36"/>
    <w:rsid w:val="00750EC7"/>
    <w:rsid w:val="00766077"/>
    <w:rsid w:val="007A0B20"/>
    <w:rsid w:val="007A0C9E"/>
    <w:rsid w:val="007C09BB"/>
    <w:rsid w:val="007C4ACA"/>
    <w:rsid w:val="007D0C78"/>
    <w:rsid w:val="007D4640"/>
    <w:rsid w:val="007F6233"/>
    <w:rsid w:val="008018A6"/>
    <w:rsid w:val="008111FE"/>
    <w:rsid w:val="00827FCE"/>
    <w:rsid w:val="008302AE"/>
    <w:rsid w:val="0084250E"/>
    <w:rsid w:val="00850577"/>
    <w:rsid w:val="00853E2A"/>
    <w:rsid w:val="00863F72"/>
    <w:rsid w:val="008A5547"/>
    <w:rsid w:val="009511C6"/>
    <w:rsid w:val="00951914"/>
    <w:rsid w:val="00961DD3"/>
    <w:rsid w:val="0098453E"/>
    <w:rsid w:val="00984F6E"/>
    <w:rsid w:val="00985B53"/>
    <w:rsid w:val="009F1E28"/>
    <w:rsid w:val="009F2134"/>
    <w:rsid w:val="00A62AFD"/>
    <w:rsid w:val="00AD677E"/>
    <w:rsid w:val="00B27BC6"/>
    <w:rsid w:val="00B66237"/>
    <w:rsid w:val="00B91070"/>
    <w:rsid w:val="00B94D5A"/>
    <w:rsid w:val="00BC1AE4"/>
    <w:rsid w:val="00BF2CEA"/>
    <w:rsid w:val="00C267A6"/>
    <w:rsid w:val="00C52A2A"/>
    <w:rsid w:val="00C56C55"/>
    <w:rsid w:val="00C663BB"/>
    <w:rsid w:val="00D33DF7"/>
    <w:rsid w:val="00D45D1B"/>
    <w:rsid w:val="00D55574"/>
    <w:rsid w:val="00D73421"/>
    <w:rsid w:val="00D773C2"/>
    <w:rsid w:val="00D77C50"/>
    <w:rsid w:val="00DC1F39"/>
    <w:rsid w:val="00DE45D6"/>
    <w:rsid w:val="00DF5FAE"/>
    <w:rsid w:val="00E42A63"/>
    <w:rsid w:val="00EB7688"/>
    <w:rsid w:val="00EF1538"/>
    <w:rsid w:val="00EF7915"/>
    <w:rsid w:val="00F73704"/>
    <w:rsid w:val="00F82F06"/>
    <w:rsid w:val="00F8543C"/>
    <w:rsid w:val="00FA099E"/>
    <w:rsid w:val="00FC0761"/>
    <w:rsid w:val="00FD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0EC7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E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0EC7"/>
    <w:rPr>
      <w:sz w:val="24"/>
      <w:szCs w:val="24"/>
    </w:rPr>
  </w:style>
  <w:style w:type="paragraph" w:styleId="a4">
    <w:name w:val="List Paragraph"/>
    <w:basedOn w:val="a"/>
    <w:uiPriority w:val="1"/>
    <w:qFormat/>
    <w:rsid w:val="00750EC7"/>
  </w:style>
  <w:style w:type="paragraph" w:customStyle="1" w:styleId="TableParagraph">
    <w:name w:val="Table Paragraph"/>
    <w:basedOn w:val="a"/>
    <w:uiPriority w:val="1"/>
    <w:qFormat/>
    <w:rsid w:val="00750EC7"/>
    <w:pPr>
      <w:spacing w:before="52"/>
      <w:ind w:left="542"/>
    </w:pPr>
  </w:style>
  <w:style w:type="paragraph" w:styleId="a5">
    <w:name w:val="header"/>
    <w:basedOn w:val="a"/>
    <w:link w:val="Char"/>
    <w:uiPriority w:val="99"/>
    <w:unhideWhenUsed/>
    <w:rsid w:val="00D77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73C2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773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73C2"/>
    <w:rPr>
      <w:rFonts w:ascii="宋体" w:eastAsia="宋体" w:hAnsi="宋体" w:cs="宋体"/>
      <w:sz w:val="18"/>
      <w:szCs w:val="18"/>
    </w:rPr>
  </w:style>
  <w:style w:type="paragraph" w:customStyle="1" w:styleId="Default">
    <w:name w:val="Default"/>
    <w:rsid w:val="00D773C2"/>
    <w:pPr>
      <w:adjustRightInd w:val="0"/>
    </w:pPr>
    <w:rPr>
      <w:rFonts w:ascii="宋体" w:eastAsia="宋体" w:cs="宋体"/>
      <w:color w:val="000000"/>
      <w:sz w:val="24"/>
      <w:szCs w:val="24"/>
      <w:lang w:eastAsia="zh-CN"/>
    </w:rPr>
  </w:style>
  <w:style w:type="table" w:customStyle="1" w:styleId="GridTable1Light">
    <w:name w:val="Grid Table 1 Light"/>
    <w:basedOn w:val="a1"/>
    <w:uiPriority w:val="46"/>
    <w:rsid w:val="00250E7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Table Grid"/>
    <w:basedOn w:val="a1"/>
    <w:uiPriority w:val="39"/>
    <w:rsid w:val="00250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6B42C5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6B42C5"/>
  </w:style>
  <w:style w:type="character" w:customStyle="1" w:styleId="Char1">
    <w:name w:val="批注文字 Char"/>
    <w:basedOn w:val="a0"/>
    <w:link w:val="a9"/>
    <w:uiPriority w:val="99"/>
    <w:semiHidden/>
    <w:rsid w:val="006B42C5"/>
    <w:rPr>
      <w:rFonts w:ascii="宋体" w:eastAsia="宋体" w:hAnsi="宋体" w:cs="宋体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B42C5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6B42C5"/>
    <w:rPr>
      <w:rFonts w:ascii="宋体" w:eastAsia="宋体" w:hAnsi="宋体" w:cs="宋体"/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6B42C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6B42C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6814-D075-4EBA-92D2-DF6F90B3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4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huxw</dc:creator>
  <cp:lastModifiedBy>ZHONGM</cp:lastModifiedBy>
  <cp:revision>2</cp:revision>
  <dcterms:created xsi:type="dcterms:W3CDTF">2025-12-25T16:02:00Z</dcterms:created>
  <dcterms:modified xsi:type="dcterms:W3CDTF">2025-12-25T16:02:00Z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2019-12-30T00:00:00Z</vt:filetime>
  </property>
</Properties>
</file>