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5B42" w:rsidRPr="00745B42" w:rsidRDefault="00C93B27" w:rsidP="00745B42">
      <w:pPr>
        <w:jc w:val="center"/>
        <w:rPr>
          <w:rFonts w:ascii="宋体" w:eastAsia="宋体" w:hAnsi="宋体" w:cs="宋体"/>
          <w:b/>
          <w:color w:val="000000"/>
          <w:sz w:val="28"/>
          <w:szCs w:val="28"/>
        </w:rPr>
      </w:pPr>
      <w:r w:rsidRPr="00745B42">
        <w:rPr>
          <w:rFonts w:ascii="宋体" w:eastAsia="宋体" w:hAnsi="宋体" w:cs="宋体"/>
          <w:b/>
          <w:color w:val="000000"/>
          <w:sz w:val="28"/>
          <w:szCs w:val="28"/>
        </w:rPr>
        <w:t>关于汇添富黄金及贵金属证券投资基金（</w:t>
      </w:r>
      <w:r w:rsidRPr="00745B42">
        <w:rPr>
          <w:rFonts w:ascii="宋体" w:eastAsia="宋体" w:hAnsi="宋体" w:cs="宋体"/>
          <w:b/>
          <w:color w:val="000000"/>
          <w:sz w:val="28"/>
          <w:szCs w:val="28"/>
        </w:rPr>
        <w:t>LOF</w:t>
      </w:r>
      <w:r w:rsidRPr="00745B42">
        <w:rPr>
          <w:rFonts w:ascii="宋体" w:eastAsia="宋体" w:hAnsi="宋体" w:cs="宋体"/>
          <w:b/>
          <w:color w:val="000000"/>
          <w:sz w:val="28"/>
          <w:szCs w:val="28"/>
        </w:rPr>
        <w:t>）调整大额申购、定期定额投资业务限制金额的公告</w:t>
      </w:r>
    </w:p>
    <w:p w:rsidR="00745B42" w:rsidRPr="00745B42" w:rsidRDefault="00C93B27" w:rsidP="00745B42">
      <w:pPr>
        <w:jc w:val="center"/>
        <w:rPr>
          <w:rFonts w:ascii="宋体" w:eastAsia="宋体" w:hAnsi="宋体" w:cs="宋体"/>
          <w:color w:val="000000"/>
          <w:sz w:val="24"/>
          <w:szCs w:val="24"/>
        </w:rPr>
      </w:pPr>
      <w:r>
        <w:rPr>
          <w:rFonts w:ascii="Times New Roman" w:eastAsia="宋体" w:hAnsi="宋体" w:cs="Times New Roman" w:hint="eastAsia"/>
          <w:b/>
          <w:sz w:val="24"/>
          <w:szCs w:val="28"/>
        </w:rPr>
        <w:t>公告送出</w:t>
      </w:r>
      <w:r>
        <w:rPr>
          <w:rFonts w:ascii="Times New Roman" w:eastAsia="宋体" w:hAnsi="宋体" w:cs="Times New Roman"/>
          <w:b/>
          <w:sz w:val="24"/>
          <w:szCs w:val="28"/>
        </w:rPr>
        <w:t>日期：</w:t>
      </w:r>
      <w:r w:rsidRPr="00745B42">
        <w:rPr>
          <w:rFonts w:ascii="宋体" w:eastAsia="宋体" w:hAnsi="宋体" w:cs="宋体"/>
          <w:color w:val="000000"/>
          <w:sz w:val="24"/>
          <w:szCs w:val="24"/>
        </w:rPr>
        <w:t>2025</w:t>
      </w:r>
      <w:r w:rsidRPr="00745B42">
        <w:rPr>
          <w:rFonts w:ascii="宋体" w:eastAsia="宋体" w:hAnsi="宋体" w:cs="宋体"/>
          <w:color w:val="000000"/>
          <w:sz w:val="24"/>
          <w:szCs w:val="24"/>
        </w:rPr>
        <w:t>年</w:t>
      </w:r>
      <w:r w:rsidRPr="00745B42">
        <w:rPr>
          <w:rFonts w:ascii="宋体" w:eastAsia="宋体" w:hAnsi="宋体" w:cs="宋体"/>
          <w:color w:val="000000"/>
          <w:sz w:val="24"/>
          <w:szCs w:val="24"/>
        </w:rPr>
        <w:t>12</w:t>
      </w:r>
      <w:r w:rsidRPr="00745B42">
        <w:rPr>
          <w:rFonts w:ascii="宋体" w:eastAsia="宋体" w:hAnsi="宋体" w:cs="宋体"/>
          <w:color w:val="000000"/>
          <w:sz w:val="24"/>
          <w:szCs w:val="24"/>
        </w:rPr>
        <w:t>月</w:t>
      </w:r>
      <w:r w:rsidRPr="00745B42">
        <w:rPr>
          <w:rFonts w:ascii="宋体" w:eastAsia="宋体" w:hAnsi="宋体" w:cs="宋体"/>
          <w:color w:val="000000"/>
          <w:sz w:val="24"/>
          <w:szCs w:val="24"/>
        </w:rPr>
        <w:t>26</w:t>
      </w:r>
      <w:r w:rsidRPr="00745B42">
        <w:rPr>
          <w:rFonts w:ascii="宋体" w:eastAsia="宋体" w:hAnsi="宋体" w:cs="宋体"/>
          <w:color w:val="000000"/>
          <w:sz w:val="24"/>
          <w:szCs w:val="24"/>
        </w:rPr>
        <w:t>日</w:t>
      </w:r>
    </w:p>
    <w:p w:rsidR="00745B42" w:rsidRPr="00745B42" w:rsidRDefault="00C93B27" w:rsidP="00C93B27">
      <w:pPr>
        <w:keepNext/>
        <w:keepLines/>
        <w:spacing w:beforeLines="50" w:afterLines="50"/>
        <w:jc w:val="left"/>
        <w:outlineLvl w:val="1"/>
        <w:rPr>
          <w:rFonts w:ascii="Times New Roman" w:eastAsia="宋体" w:hAnsi="Times New Roman" w:cs="Times New Roman"/>
          <w:b/>
          <w:sz w:val="24"/>
          <w:szCs w:val="24"/>
        </w:rPr>
      </w:pPr>
      <w:r w:rsidRPr="00745B42">
        <w:rPr>
          <w:rFonts w:ascii="Times New Roman" w:eastAsia="宋体" w:hAnsi="Times New Roman" w:cs="Times New Roman"/>
          <w:b/>
          <w:sz w:val="24"/>
          <w:szCs w:val="24"/>
        </w:rPr>
        <w:t>1</w:t>
      </w:r>
      <w:bookmarkStart w:id="0" w:name="t_3_1_1_table"/>
      <w:bookmarkEnd w:id="0"/>
      <w:r w:rsidRPr="00745B42">
        <w:rPr>
          <w:rFonts w:ascii="Times New Roman" w:eastAsia="宋体" w:hAnsi="Times New Roman" w:cs="Times New Roman"/>
          <w:b/>
          <w:sz w:val="24"/>
          <w:szCs w:val="24"/>
        </w:rPr>
        <w:t xml:space="preserve"> </w:t>
      </w:r>
      <w:r w:rsidRPr="00745B42">
        <w:rPr>
          <w:rFonts w:ascii="Times New Roman" w:eastAsia="宋体" w:hAnsi="宋体" w:cs="Times New Roman" w:hint="eastAsia"/>
          <w:b/>
          <w:sz w:val="24"/>
          <w:szCs w:val="24"/>
        </w:rPr>
        <w:t>公告基本信息</w:t>
      </w:r>
    </w:p>
    <w:p w:rsidR="00745B42" w:rsidRPr="00745B42" w:rsidRDefault="00745B42" w:rsidP="00745B42">
      <w:pPr>
        <w:rPr>
          <w:rFonts w:ascii="宋体" w:eastAsia="宋体" w:hAnsi="宋体" w:cs="Times New Roman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58"/>
        <w:gridCol w:w="1328"/>
        <w:gridCol w:w="2818"/>
        <w:gridCol w:w="2818"/>
      </w:tblGrid>
      <w:tr w:rsidR="00B23B90">
        <w:tc>
          <w:tcPr>
            <w:tcW w:w="-25536" w:type="dxa"/>
            <w:gridSpan w:val="2"/>
            <w:vAlign w:val="center"/>
          </w:tcPr>
          <w:p w:rsidR="00745B42" w:rsidRPr="00745B42" w:rsidRDefault="00C93B27" w:rsidP="00745B42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基金名称</w:t>
            </w:r>
          </w:p>
        </w:tc>
        <w:tc>
          <w:tcPr>
            <w:tcW w:w="-25536" w:type="dxa"/>
            <w:gridSpan w:val="2"/>
            <w:vAlign w:val="center"/>
          </w:tcPr>
          <w:p w:rsidR="00745B42" w:rsidRPr="00745B42" w:rsidRDefault="00C93B27" w:rsidP="00745B42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汇添富黄金及贵金属证券投资基金（</w:t>
            </w: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LOF</w:t>
            </w: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）</w:t>
            </w:r>
          </w:p>
        </w:tc>
      </w:tr>
      <w:tr w:rsidR="00B23B90">
        <w:tc>
          <w:tcPr>
            <w:tcW w:w="-25536" w:type="dxa"/>
            <w:gridSpan w:val="2"/>
            <w:vAlign w:val="center"/>
          </w:tcPr>
          <w:p w:rsidR="00745B42" w:rsidRPr="00745B42" w:rsidRDefault="00C93B27" w:rsidP="00745B42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基金简称</w:t>
            </w:r>
          </w:p>
        </w:tc>
        <w:tc>
          <w:tcPr>
            <w:tcW w:w="-25536" w:type="dxa"/>
            <w:gridSpan w:val="2"/>
            <w:vAlign w:val="center"/>
          </w:tcPr>
          <w:p w:rsidR="00745B42" w:rsidRPr="00745B42" w:rsidRDefault="00C93B27" w:rsidP="00745B42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汇添富黄金及贵金属（</w:t>
            </w: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QDII-LOF-FOF</w:t>
            </w: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）</w:t>
            </w:r>
          </w:p>
        </w:tc>
      </w:tr>
      <w:tr w:rsidR="00B23B90">
        <w:tc>
          <w:tcPr>
            <w:tcW w:w="-25536" w:type="dxa"/>
            <w:gridSpan w:val="2"/>
            <w:vAlign w:val="center"/>
          </w:tcPr>
          <w:p w:rsidR="00745B42" w:rsidRPr="00745B42" w:rsidRDefault="00C93B27" w:rsidP="00745B42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基金主代码</w:t>
            </w:r>
          </w:p>
        </w:tc>
        <w:tc>
          <w:tcPr>
            <w:tcW w:w="-25536" w:type="dxa"/>
            <w:gridSpan w:val="2"/>
            <w:vAlign w:val="center"/>
          </w:tcPr>
          <w:p w:rsidR="00745B42" w:rsidRPr="00745B42" w:rsidRDefault="00C93B27" w:rsidP="00745B42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164701</w:t>
            </w:r>
          </w:p>
        </w:tc>
      </w:tr>
      <w:tr w:rsidR="00B23B90">
        <w:tc>
          <w:tcPr>
            <w:tcW w:w="-25536" w:type="dxa"/>
            <w:gridSpan w:val="2"/>
            <w:vAlign w:val="center"/>
          </w:tcPr>
          <w:p w:rsidR="00745B42" w:rsidRPr="00745B42" w:rsidRDefault="00C93B27" w:rsidP="00745B42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基金管理人名称</w:t>
            </w:r>
          </w:p>
        </w:tc>
        <w:tc>
          <w:tcPr>
            <w:tcW w:w="-25536" w:type="dxa"/>
            <w:gridSpan w:val="2"/>
            <w:vAlign w:val="center"/>
          </w:tcPr>
          <w:p w:rsidR="00745B42" w:rsidRPr="00745B42" w:rsidRDefault="00C93B27" w:rsidP="00745B42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汇添富基金管理股份有限公司</w:t>
            </w:r>
          </w:p>
        </w:tc>
      </w:tr>
      <w:tr w:rsidR="00B23B90">
        <w:tc>
          <w:tcPr>
            <w:tcW w:w="-25536" w:type="dxa"/>
            <w:gridSpan w:val="2"/>
            <w:vAlign w:val="center"/>
          </w:tcPr>
          <w:p w:rsidR="00745B42" w:rsidRPr="00745B42" w:rsidRDefault="00C93B27" w:rsidP="00745B42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公告依据</w:t>
            </w:r>
          </w:p>
        </w:tc>
        <w:tc>
          <w:tcPr>
            <w:tcW w:w="-25536" w:type="dxa"/>
            <w:gridSpan w:val="2"/>
            <w:vAlign w:val="center"/>
          </w:tcPr>
          <w:p w:rsidR="00745B42" w:rsidRPr="00745B42" w:rsidRDefault="00C93B27" w:rsidP="00745B42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根据《公开募集证券投资基金信息披露管理办法》等法律法规和《汇添富黄金及贵金属证券投资基金（</w:t>
            </w: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LOF</w:t>
            </w: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）基金合同》的规定。</w:t>
            </w:r>
          </w:p>
        </w:tc>
      </w:tr>
      <w:tr w:rsidR="00B23B90">
        <w:tc>
          <w:tcPr>
            <w:tcW w:w="20000" w:type="dxa"/>
            <w:vMerge w:val="restart"/>
            <w:vAlign w:val="center"/>
          </w:tcPr>
          <w:p w:rsidR="00745B42" w:rsidRPr="00745B42" w:rsidRDefault="00C93B27" w:rsidP="00745B42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暂停相关业务的起始日、金额及原因说明</w:t>
            </w:r>
          </w:p>
        </w:tc>
        <w:tc>
          <w:tcPr>
            <w:tcW w:w="20000" w:type="dxa"/>
            <w:vAlign w:val="center"/>
          </w:tcPr>
          <w:p w:rsidR="00745B42" w:rsidRPr="00745B42" w:rsidRDefault="00C93B27" w:rsidP="00745B42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暂停大额申购起始日</w:t>
            </w:r>
          </w:p>
        </w:tc>
        <w:tc>
          <w:tcPr>
            <w:tcW w:w="-25536" w:type="dxa"/>
            <w:gridSpan w:val="2"/>
            <w:vAlign w:val="center"/>
          </w:tcPr>
          <w:p w:rsidR="00745B42" w:rsidRPr="00745B42" w:rsidRDefault="00C93B27" w:rsidP="00745B42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2025</w:t>
            </w: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年</w:t>
            </w: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12</w:t>
            </w: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月</w:t>
            </w: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26</w:t>
            </w: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日</w:t>
            </w:r>
          </w:p>
        </w:tc>
      </w:tr>
      <w:tr w:rsidR="00B23B90">
        <w:tc>
          <w:tcPr>
            <w:tcW w:w="20000" w:type="dxa"/>
            <w:vMerge/>
            <w:vAlign w:val="center"/>
          </w:tcPr>
          <w:p w:rsidR="00745B42" w:rsidRPr="00745B42" w:rsidRDefault="00745B42" w:rsidP="00745B42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20000" w:type="dxa"/>
            <w:vAlign w:val="center"/>
          </w:tcPr>
          <w:p w:rsidR="00745B42" w:rsidRPr="00745B42" w:rsidRDefault="00C93B27" w:rsidP="00745B42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暂停上述业务的原因说明</w:t>
            </w:r>
          </w:p>
        </w:tc>
        <w:tc>
          <w:tcPr>
            <w:tcW w:w="-25536" w:type="dxa"/>
            <w:gridSpan w:val="2"/>
            <w:vAlign w:val="center"/>
          </w:tcPr>
          <w:p w:rsidR="00745B42" w:rsidRPr="00745B42" w:rsidRDefault="00C93B27" w:rsidP="00745B42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为保护基金份额持有人的利益，保障基金平稳运作，根据《汇添富黄金及贵金属证券投资基金（</w:t>
            </w: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LOF</w:t>
            </w: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）基金合同》的有关规定。</w:t>
            </w:r>
          </w:p>
        </w:tc>
      </w:tr>
      <w:tr w:rsidR="00B23B90">
        <w:tc>
          <w:tcPr>
            <w:tcW w:w="-25536" w:type="dxa"/>
            <w:gridSpan w:val="2"/>
            <w:vAlign w:val="center"/>
          </w:tcPr>
          <w:p w:rsidR="00745B42" w:rsidRPr="00745B42" w:rsidRDefault="00C93B27" w:rsidP="00745B42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下属基金份额的基金简称</w:t>
            </w:r>
          </w:p>
        </w:tc>
        <w:tc>
          <w:tcPr>
            <w:tcW w:w="20000" w:type="dxa"/>
            <w:vAlign w:val="center"/>
          </w:tcPr>
          <w:p w:rsidR="00745B42" w:rsidRPr="00745B42" w:rsidRDefault="00C93B27" w:rsidP="00745B42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汇添富黄金及贵金属</w:t>
            </w: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(QDII-LOF-FOF)A</w:t>
            </w:r>
          </w:p>
        </w:tc>
        <w:tc>
          <w:tcPr>
            <w:tcW w:w="20000" w:type="dxa"/>
            <w:vAlign w:val="center"/>
          </w:tcPr>
          <w:p w:rsidR="00745B42" w:rsidRPr="00745B42" w:rsidRDefault="00C93B27" w:rsidP="00745B42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汇添富黄金及贵金属</w:t>
            </w: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(QDII-LOF-FOF)C</w:t>
            </w:r>
          </w:p>
        </w:tc>
      </w:tr>
      <w:tr w:rsidR="00B23B90">
        <w:tc>
          <w:tcPr>
            <w:tcW w:w="-25536" w:type="dxa"/>
            <w:gridSpan w:val="2"/>
            <w:vAlign w:val="center"/>
          </w:tcPr>
          <w:p w:rsidR="00745B42" w:rsidRPr="00745B42" w:rsidRDefault="00C93B27" w:rsidP="00745B42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下属基金份额的交易代码</w:t>
            </w:r>
          </w:p>
        </w:tc>
        <w:tc>
          <w:tcPr>
            <w:tcW w:w="20000" w:type="dxa"/>
            <w:vAlign w:val="center"/>
          </w:tcPr>
          <w:p w:rsidR="00745B42" w:rsidRPr="00745B42" w:rsidRDefault="00C93B27" w:rsidP="00745B42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164701</w:t>
            </w:r>
          </w:p>
        </w:tc>
        <w:tc>
          <w:tcPr>
            <w:tcW w:w="20000" w:type="dxa"/>
            <w:vAlign w:val="center"/>
          </w:tcPr>
          <w:p w:rsidR="00745B42" w:rsidRPr="00745B42" w:rsidRDefault="00C93B27" w:rsidP="00745B42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018543</w:t>
            </w:r>
          </w:p>
        </w:tc>
      </w:tr>
      <w:tr w:rsidR="00B23B90">
        <w:tc>
          <w:tcPr>
            <w:tcW w:w="-25536" w:type="dxa"/>
            <w:gridSpan w:val="2"/>
            <w:vAlign w:val="center"/>
          </w:tcPr>
          <w:p w:rsidR="00745B42" w:rsidRPr="00745B42" w:rsidRDefault="00C93B27" w:rsidP="00745B42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该基金份额是否暂停上述业务</w:t>
            </w:r>
          </w:p>
        </w:tc>
        <w:tc>
          <w:tcPr>
            <w:tcW w:w="20000" w:type="dxa"/>
            <w:vAlign w:val="center"/>
          </w:tcPr>
          <w:p w:rsidR="00745B42" w:rsidRPr="00745B42" w:rsidRDefault="00C93B27" w:rsidP="00745B42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是</w:t>
            </w:r>
          </w:p>
        </w:tc>
        <w:tc>
          <w:tcPr>
            <w:tcW w:w="20000" w:type="dxa"/>
            <w:vAlign w:val="center"/>
          </w:tcPr>
          <w:p w:rsidR="00745B42" w:rsidRPr="00745B42" w:rsidRDefault="00C93B27" w:rsidP="00745B42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是</w:t>
            </w:r>
          </w:p>
        </w:tc>
      </w:tr>
      <w:tr w:rsidR="00B23B90">
        <w:tc>
          <w:tcPr>
            <w:tcW w:w="-25536" w:type="dxa"/>
            <w:gridSpan w:val="2"/>
            <w:vAlign w:val="center"/>
          </w:tcPr>
          <w:p w:rsidR="00745B42" w:rsidRPr="00745B42" w:rsidRDefault="00C93B27" w:rsidP="00745B42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下属基金份额的限制申购金额（单位：人民币元）</w:t>
            </w:r>
          </w:p>
        </w:tc>
        <w:tc>
          <w:tcPr>
            <w:tcW w:w="20000" w:type="dxa"/>
            <w:vAlign w:val="center"/>
          </w:tcPr>
          <w:p w:rsidR="00745B42" w:rsidRPr="00745B42" w:rsidRDefault="00C93B27" w:rsidP="00745B42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10.00</w:t>
            </w:r>
          </w:p>
        </w:tc>
        <w:tc>
          <w:tcPr>
            <w:tcW w:w="20000" w:type="dxa"/>
            <w:vAlign w:val="center"/>
          </w:tcPr>
          <w:p w:rsidR="00745B42" w:rsidRPr="00745B42" w:rsidRDefault="00C93B27" w:rsidP="00745B42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10.00</w:t>
            </w:r>
          </w:p>
        </w:tc>
      </w:tr>
      <w:tr w:rsidR="00B23B90">
        <w:tc>
          <w:tcPr>
            <w:tcW w:w="-25536" w:type="dxa"/>
            <w:gridSpan w:val="2"/>
            <w:vAlign w:val="center"/>
          </w:tcPr>
          <w:p w:rsidR="00745B42" w:rsidRPr="00745B42" w:rsidRDefault="00C93B27" w:rsidP="00745B42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下属基金份额的限制定期定额投资金额（单位：人民币元）</w:t>
            </w:r>
          </w:p>
        </w:tc>
        <w:tc>
          <w:tcPr>
            <w:tcW w:w="20000" w:type="dxa"/>
            <w:vAlign w:val="center"/>
          </w:tcPr>
          <w:p w:rsidR="00745B42" w:rsidRPr="00745B42" w:rsidRDefault="00C93B27" w:rsidP="00745B42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10.00</w:t>
            </w:r>
          </w:p>
        </w:tc>
        <w:tc>
          <w:tcPr>
            <w:tcW w:w="20000" w:type="dxa"/>
            <w:vAlign w:val="center"/>
          </w:tcPr>
          <w:p w:rsidR="00745B42" w:rsidRPr="00745B42" w:rsidRDefault="00C93B27" w:rsidP="00745B42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10.00</w:t>
            </w:r>
          </w:p>
        </w:tc>
      </w:tr>
    </w:tbl>
    <w:p w:rsidR="00745B42" w:rsidRPr="00745B42" w:rsidRDefault="00745B42" w:rsidP="00745B42">
      <w:pPr>
        <w:rPr>
          <w:rFonts w:ascii="宋体" w:eastAsia="宋体" w:hAnsi="宋体" w:cs="Times New Roman"/>
          <w:sz w:val="24"/>
          <w:szCs w:val="24"/>
        </w:rPr>
      </w:pPr>
    </w:p>
    <w:p w:rsidR="00745B42" w:rsidRPr="00745B42" w:rsidRDefault="00C93B27" w:rsidP="00B778F6">
      <w:pPr>
        <w:spacing w:line="360" w:lineRule="auto"/>
        <w:rPr>
          <w:rFonts w:ascii="宋体" w:eastAsia="宋体" w:hAnsi="宋体" w:cs="宋体"/>
          <w:color w:val="000000"/>
          <w:szCs w:val="21"/>
        </w:rPr>
      </w:pPr>
      <w:r w:rsidRPr="00745B42">
        <w:rPr>
          <w:rFonts w:ascii="宋体" w:eastAsia="宋体" w:hAnsi="宋体" w:cs="宋体"/>
          <w:color w:val="000000"/>
          <w:szCs w:val="21"/>
        </w:rPr>
        <w:t>注：</w:t>
      </w:r>
      <w:r w:rsidRPr="00745B42">
        <w:rPr>
          <w:rFonts w:ascii="宋体" w:eastAsia="宋体" w:hAnsi="宋体" w:cs="宋体"/>
          <w:color w:val="000000"/>
          <w:szCs w:val="21"/>
        </w:rPr>
        <w:t>1</w:t>
      </w:r>
      <w:r w:rsidRPr="00745B42">
        <w:rPr>
          <w:rFonts w:ascii="宋体" w:eastAsia="宋体" w:hAnsi="宋体" w:cs="宋体"/>
          <w:color w:val="000000"/>
          <w:szCs w:val="21"/>
        </w:rPr>
        <w:t>、本基金</w:t>
      </w:r>
      <w:r w:rsidRPr="00745B42">
        <w:rPr>
          <w:rFonts w:ascii="宋体" w:eastAsia="宋体" w:hAnsi="宋体" w:cs="宋体"/>
          <w:color w:val="000000"/>
          <w:szCs w:val="21"/>
        </w:rPr>
        <w:t>A</w:t>
      </w:r>
      <w:r w:rsidRPr="00745B42">
        <w:rPr>
          <w:rFonts w:ascii="宋体" w:eastAsia="宋体" w:hAnsi="宋体" w:cs="宋体"/>
          <w:color w:val="000000"/>
          <w:szCs w:val="21"/>
        </w:rPr>
        <w:t>类份额场内简称为黄金</w:t>
      </w:r>
      <w:r w:rsidRPr="00745B42">
        <w:rPr>
          <w:rFonts w:ascii="宋体" w:eastAsia="宋体" w:hAnsi="宋体" w:cs="宋体"/>
          <w:color w:val="000000"/>
          <w:szCs w:val="21"/>
        </w:rPr>
        <w:t>LOF</w:t>
      </w:r>
      <w:r w:rsidRPr="00745B42">
        <w:rPr>
          <w:rFonts w:ascii="宋体" w:eastAsia="宋体" w:hAnsi="宋体" w:cs="宋体"/>
          <w:color w:val="000000"/>
          <w:szCs w:val="21"/>
        </w:rPr>
        <w:t>。</w:t>
      </w:r>
    </w:p>
    <w:p w:rsidR="00745B42" w:rsidRPr="00745B42" w:rsidRDefault="00C93B27" w:rsidP="00B778F6">
      <w:pPr>
        <w:spacing w:line="360" w:lineRule="auto"/>
        <w:rPr>
          <w:rFonts w:ascii="宋体" w:eastAsia="宋体" w:hAnsi="宋体" w:cs="宋体"/>
          <w:color w:val="000000"/>
          <w:szCs w:val="21"/>
        </w:rPr>
      </w:pPr>
      <w:r w:rsidRPr="00745B42">
        <w:rPr>
          <w:rFonts w:ascii="宋体" w:eastAsia="宋体" w:hAnsi="宋体" w:cs="宋体"/>
          <w:color w:val="000000"/>
          <w:szCs w:val="21"/>
        </w:rPr>
        <w:t>2</w:t>
      </w:r>
      <w:r w:rsidRPr="00745B42">
        <w:rPr>
          <w:rFonts w:ascii="宋体" w:eastAsia="宋体" w:hAnsi="宋体" w:cs="宋体"/>
          <w:color w:val="000000"/>
          <w:szCs w:val="21"/>
        </w:rPr>
        <w:t>、汇添富黄金及贵金属</w:t>
      </w:r>
      <w:r w:rsidRPr="00745B42">
        <w:rPr>
          <w:rFonts w:ascii="宋体" w:eastAsia="宋体" w:hAnsi="宋体" w:cs="宋体"/>
          <w:color w:val="000000"/>
          <w:szCs w:val="21"/>
        </w:rPr>
        <w:t>(QDII-LOF-FOF)A</w:t>
      </w:r>
      <w:r w:rsidRPr="00745B42">
        <w:rPr>
          <w:rFonts w:ascii="宋体" w:eastAsia="宋体" w:hAnsi="宋体" w:cs="宋体"/>
          <w:color w:val="000000"/>
          <w:szCs w:val="21"/>
        </w:rPr>
        <w:t>、汇添富黄金及贵金属</w:t>
      </w:r>
      <w:r w:rsidRPr="00745B42">
        <w:rPr>
          <w:rFonts w:ascii="宋体" w:eastAsia="宋体" w:hAnsi="宋体" w:cs="宋体"/>
          <w:color w:val="000000"/>
          <w:szCs w:val="21"/>
        </w:rPr>
        <w:t>(QDII-LOF-FOF)C</w:t>
      </w:r>
      <w:r w:rsidRPr="00745B42">
        <w:rPr>
          <w:rFonts w:ascii="宋体" w:eastAsia="宋体" w:hAnsi="宋体" w:cs="宋体"/>
          <w:color w:val="000000"/>
          <w:szCs w:val="21"/>
        </w:rPr>
        <w:t>自</w:t>
      </w:r>
      <w:r w:rsidRPr="00745B42">
        <w:rPr>
          <w:rFonts w:ascii="宋体" w:eastAsia="宋体" w:hAnsi="宋体" w:cs="宋体"/>
          <w:color w:val="000000"/>
          <w:szCs w:val="21"/>
        </w:rPr>
        <w:t>2025</w:t>
      </w:r>
      <w:r w:rsidRPr="00745B42">
        <w:rPr>
          <w:rFonts w:ascii="宋体" w:eastAsia="宋体" w:hAnsi="宋体" w:cs="宋体"/>
          <w:color w:val="000000"/>
          <w:szCs w:val="21"/>
        </w:rPr>
        <w:t>年</w:t>
      </w:r>
      <w:r w:rsidRPr="00745B42">
        <w:rPr>
          <w:rFonts w:ascii="宋体" w:eastAsia="宋体" w:hAnsi="宋体" w:cs="宋体"/>
          <w:color w:val="000000"/>
          <w:szCs w:val="21"/>
        </w:rPr>
        <w:t>10</w:t>
      </w:r>
      <w:r w:rsidRPr="00745B42">
        <w:rPr>
          <w:rFonts w:ascii="宋体" w:eastAsia="宋体" w:hAnsi="宋体" w:cs="宋体"/>
          <w:color w:val="000000"/>
          <w:szCs w:val="21"/>
        </w:rPr>
        <w:t>月</w:t>
      </w:r>
      <w:r w:rsidRPr="00745B42">
        <w:rPr>
          <w:rFonts w:ascii="宋体" w:eastAsia="宋体" w:hAnsi="宋体" w:cs="宋体"/>
          <w:color w:val="000000"/>
          <w:szCs w:val="21"/>
        </w:rPr>
        <w:t>30</w:t>
      </w:r>
      <w:r w:rsidRPr="00745B42">
        <w:rPr>
          <w:rFonts w:ascii="宋体" w:eastAsia="宋体" w:hAnsi="宋体" w:cs="宋体"/>
          <w:color w:val="000000"/>
          <w:szCs w:val="21"/>
        </w:rPr>
        <w:t>日起限制大额申购、大额定期定额投资业务，限制金额为</w:t>
      </w:r>
      <w:r w:rsidRPr="00745B42">
        <w:rPr>
          <w:rFonts w:ascii="宋体" w:eastAsia="宋体" w:hAnsi="宋体" w:cs="宋体"/>
          <w:color w:val="000000"/>
          <w:szCs w:val="21"/>
        </w:rPr>
        <w:t>5000</w:t>
      </w:r>
      <w:r w:rsidRPr="00745B42">
        <w:rPr>
          <w:rFonts w:ascii="宋体" w:eastAsia="宋体" w:hAnsi="宋体" w:cs="宋体"/>
          <w:color w:val="000000"/>
          <w:szCs w:val="21"/>
        </w:rPr>
        <w:t>人民币元，详见本公司于</w:t>
      </w:r>
      <w:r w:rsidRPr="00745B42">
        <w:rPr>
          <w:rFonts w:ascii="宋体" w:eastAsia="宋体" w:hAnsi="宋体" w:cs="宋体"/>
          <w:color w:val="000000"/>
          <w:szCs w:val="21"/>
        </w:rPr>
        <w:t>2025</w:t>
      </w:r>
      <w:r w:rsidRPr="00745B42">
        <w:rPr>
          <w:rFonts w:ascii="宋体" w:eastAsia="宋体" w:hAnsi="宋体" w:cs="宋体"/>
          <w:color w:val="000000"/>
          <w:szCs w:val="21"/>
        </w:rPr>
        <w:t>年</w:t>
      </w:r>
      <w:r w:rsidRPr="00745B42">
        <w:rPr>
          <w:rFonts w:ascii="宋体" w:eastAsia="宋体" w:hAnsi="宋体" w:cs="宋体"/>
          <w:color w:val="000000"/>
          <w:szCs w:val="21"/>
        </w:rPr>
        <w:t>10</w:t>
      </w:r>
      <w:r w:rsidRPr="00745B42">
        <w:rPr>
          <w:rFonts w:ascii="宋体" w:eastAsia="宋体" w:hAnsi="宋体" w:cs="宋体"/>
          <w:color w:val="000000"/>
          <w:szCs w:val="21"/>
        </w:rPr>
        <w:t>月</w:t>
      </w:r>
      <w:r w:rsidRPr="00745B42">
        <w:rPr>
          <w:rFonts w:ascii="宋体" w:eastAsia="宋体" w:hAnsi="宋体" w:cs="宋体"/>
          <w:color w:val="000000"/>
          <w:szCs w:val="21"/>
        </w:rPr>
        <w:t>29</w:t>
      </w:r>
      <w:r w:rsidRPr="00745B42">
        <w:rPr>
          <w:rFonts w:ascii="宋体" w:eastAsia="宋体" w:hAnsi="宋体" w:cs="宋体"/>
          <w:color w:val="000000"/>
          <w:szCs w:val="21"/>
        </w:rPr>
        <w:t>日发布的《关于汇添富黄金及贵金属证券投资基金（</w:t>
      </w:r>
      <w:r w:rsidRPr="00745B42">
        <w:rPr>
          <w:rFonts w:ascii="宋体" w:eastAsia="宋体" w:hAnsi="宋体" w:cs="宋体"/>
          <w:color w:val="000000"/>
          <w:szCs w:val="21"/>
        </w:rPr>
        <w:t>LOF</w:t>
      </w:r>
      <w:r w:rsidRPr="00745B42">
        <w:rPr>
          <w:rFonts w:ascii="宋体" w:eastAsia="宋体" w:hAnsi="宋体" w:cs="宋体"/>
          <w:color w:val="000000"/>
          <w:szCs w:val="21"/>
        </w:rPr>
        <w:t>）调整大额申购、定期定额投资业务限制金额的公告》。</w:t>
      </w:r>
    </w:p>
    <w:p w:rsidR="00745B42" w:rsidRPr="00745B42" w:rsidRDefault="00C93B27" w:rsidP="00B778F6">
      <w:pPr>
        <w:spacing w:line="360" w:lineRule="auto"/>
        <w:rPr>
          <w:rFonts w:ascii="宋体" w:eastAsia="宋体" w:hAnsi="宋体" w:cs="宋体"/>
          <w:color w:val="000000"/>
          <w:szCs w:val="21"/>
        </w:rPr>
      </w:pPr>
      <w:r w:rsidRPr="00745B42">
        <w:rPr>
          <w:rFonts w:ascii="宋体" w:eastAsia="宋体" w:hAnsi="宋体" w:cs="宋体"/>
          <w:color w:val="000000"/>
          <w:szCs w:val="21"/>
        </w:rPr>
        <w:t>3</w:t>
      </w:r>
      <w:r w:rsidRPr="00745B42">
        <w:rPr>
          <w:rFonts w:ascii="宋体" w:eastAsia="宋体" w:hAnsi="宋体" w:cs="宋体"/>
          <w:color w:val="000000"/>
          <w:szCs w:val="21"/>
        </w:rPr>
        <w:t>、自</w:t>
      </w:r>
      <w:r w:rsidRPr="00745B42">
        <w:rPr>
          <w:rFonts w:ascii="宋体" w:eastAsia="宋体" w:hAnsi="宋体" w:cs="宋体"/>
          <w:color w:val="000000"/>
          <w:szCs w:val="21"/>
        </w:rPr>
        <w:t>2025</w:t>
      </w:r>
      <w:r w:rsidRPr="00745B42">
        <w:rPr>
          <w:rFonts w:ascii="宋体" w:eastAsia="宋体" w:hAnsi="宋体" w:cs="宋体"/>
          <w:color w:val="000000"/>
          <w:szCs w:val="21"/>
        </w:rPr>
        <w:t>年</w:t>
      </w:r>
      <w:r w:rsidRPr="00745B42">
        <w:rPr>
          <w:rFonts w:ascii="宋体" w:eastAsia="宋体" w:hAnsi="宋体" w:cs="宋体"/>
          <w:color w:val="000000"/>
          <w:szCs w:val="21"/>
        </w:rPr>
        <w:t>12</w:t>
      </w:r>
      <w:r w:rsidRPr="00745B42">
        <w:rPr>
          <w:rFonts w:ascii="宋体" w:eastAsia="宋体" w:hAnsi="宋体" w:cs="宋体"/>
          <w:color w:val="000000"/>
          <w:szCs w:val="21"/>
        </w:rPr>
        <w:t>月</w:t>
      </w:r>
      <w:r w:rsidRPr="00745B42">
        <w:rPr>
          <w:rFonts w:ascii="宋体" w:eastAsia="宋体" w:hAnsi="宋体" w:cs="宋体"/>
          <w:color w:val="000000"/>
          <w:szCs w:val="21"/>
        </w:rPr>
        <w:t>26</w:t>
      </w:r>
      <w:r w:rsidRPr="00745B42">
        <w:rPr>
          <w:rFonts w:ascii="宋体" w:eastAsia="宋体" w:hAnsi="宋体" w:cs="宋体"/>
          <w:color w:val="000000"/>
          <w:szCs w:val="21"/>
        </w:rPr>
        <w:t>日起（含</w:t>
      </w:r>
      <w:r w:rsidRPr="00745B42">
        <w:rPr>
          <w:rFonts w:ascii="宋体" w:eastAsia="宋体" w:hAnsi="宋体" w:cs="宋体"/>
          <w:color w:val="000000"/>
          <w:szCs w:val="21"/>
        </w:rPr>
        <w:t>2025</w:t>
      </w:r>
      <w:r w:rsidRPr="00745B42">
        <w:rPr>
          <w:rFonts w:ascii="宋体" w:eastAsia="宋体" w:hAnsi="宋体" w:cs="宋体"/>
          <w:color w:val="000000"/>
          <w:szCs w:val="21"/>
        </w:rPr>
        <w:t>年</w:t>
      </w:r>
      <w:r w:rsidRPr="00745B42">
        <w:rPr>
          <w:rFonts w:ascii="宋体" w:eastAsia="宋体" w:hAnsi="宋体" w:cs="宋体"/>
          <w:color w:val="000000"/>
          <w:szCs w:val="21"/>
        </w:rPr>
        <w:t>12</w:t>
      </w:r>
      <w:r w:rsidRPr="00745B42">
        <w:rPr>
          <w:rFonts w:ascii="宋体" w:eastAsia="宋体" w:hAnsi="宋体" w:cs="宋体"/>
          <w:color w:val="000000"/>
          <w:szCs w:val="21"/>
        </w:rPr>
        <w:t>月</w:t>
      </w:r>
      <w:r w:rsidRPr="00745B42">
        <w:rPr>
          <w:rFonts w:ascii="宋体" w:eastAsia="宋体" w:hAnsi="宋体" w:cs="宋体"/>
          <w:color w:val="000000"/>
          <w:szCs w:val="21"/>
        </w:rPr>
        <w:t>26</w:t>
      </w:r>
      <w:r w:rsidRPr="00745B42">
        <w:rPr>
          <w:rFonts w:ascii="宋体" w:eastAsia="宋体" w:hAnsi="宋体" w:cs="宋体"/>
          <w:color w:val="000000"/>
          <w:szCs w:val="21"/>
        </w:rPr>
        <w:t>日），汇添富黄金及贵金属</w:t>
      </w:r>
      <w:r w:rsidRPr="00745B42">
        <w:rPr>
          <w:rFonts w:ascii="宋体" w:eastAsia="宋体" w:hAnsi="宋体" w:cs="宋体"/>
          <w:color w:val="000000"/>
          <w:szCs w:val="21"/>
        </w:rPr>
        <w:t>(QDII-LOF-FOF)A</w:t>
      </w:r>
      <w:r w:rsidRPr="00745B42">
        <w:rPr>
          <w:rFonts w:ascii="宋体" w:eastAsia="宋体" w:hAnsi="宋体" w:cs="宋体"/>
          <w:color w:val="000000"/>
          <w:szCs w:val="21"/>
        </w:rPr>
        <w:t>调整大额申购、大额定期定额投资业务限制金额，单日单个基金账户单笔或多笔累计申购、定期定额投资的金额不应超过</w:t>
      </w:r>
      <w:r w:rsidRPr="00745B42">
        <w:rPr>
          <w:rFonts w:ascii="宋体" w:eastAsia="宋体" w:hAnsi="宋体" w:cs="宋体"/>
          <w:color w:val="000000"/>
          <w:szCs w:val="21"/>
        </w:rPr>
        <w:t>10</w:t>
      </w:r>
      <w:r w:rsidRPr="00745B42">
        <w:rPr>
          <w:rFonts w:ascii="宋体" w:eastAsia="宋体" w:hAnsi="宋体" w:cs="宋体"/>
          <w:color w:val="000000"/>
          <w:szCs w:val="21"/>
        </w:rPr>
        <w:t>人民币元（含</w:t>
      </w:r>
      <w:r w:rsidRPr="00745B42">
        <w:rPr>
          <w:rFonts w:ascii="宋体" w:eastAsia="宋体" w:hAnsi="宋体" w:cs="宋体"/>
          <w:color w:val="000000"/>
          <w:szCs w:val="21"/>
        </w:rPr>
        <w:t>10</w:t>
      </w:r>
      <w:r w:rsidRPr="00745B42">
        <w:rPr>
          <w:rFonts w:ascii="宋体" w:eastAsia="宋体" w:hAnsi="宋体" w:cs="宋体"/>
          <w:color w:val="000000"/>
          <w:szCs w:val="21"/>
        </w:rPr>
        <w:t>人民币元</w:t>
      </w:r>
      <w:r w:rsidRPr="00745B42">
        <w:rPr>
          <w:rFonts w:ascii="宋体" w:eastAsia="宋体" w:hAnsi="宋体" w:cs="宋体"/>
          <w:color w:val="000000"/>
          <w:szCs w:val="21"/>
        </w:rPr>
        <w:t xml:space="preserve"> </w:t>
      </w:r>
      <w:r w:rsidRPr="00745B42">
        <w:rPr>
          <w:rFonts w:ascii="宋体" w:eastAsia="宋体" w:hAnsi="宋体" w:cs="宋体"/>
          <w:color w:val="000000"/>
          <w:szCs w:val="21"/>
        </w:rPr>
        <w:t>）。当单日某基金账户单笔或多</w:t>
      </w:r>
      <w:r w:rsidRPr="00745B42">
        <w:rPr>
          <w:rFonts w:ascii="宋体" w:eastAsia="宋体" w:hAnsi="宋体" w:cs="宋体"/>
          <w:color w:val="000000"/>
          <w:szCs w:val="21"/>
        </w:rPr>
        <w:lastRenderedPageBreak/>
        <w:t>笔累计申购、定期定额投资该份额的金额超过</w:t>
      </w:r>
      <w:r w:rsidRPr="00745B42">
        <w:rPr>
          <w:rFonts w:ascii="宋体" w:eastAsia="宋体" w:hAnsi="宋体" w:cs="宋体"/>
          <w:color w:val="000000"/>
          <w:szCs w:val="21"/>
        </w:rPr>
        <w:t>10</w:t>
      </w:r>
      <w:r w:rsidRPr="00745B42">
        <w:rPr>
          <w:rFonts w:ascii="宋体" w:eastAsia="宋体" w:hAnsi="宋体" w:cs="宋体"/>
          <w:color w:val="000000"/>
          <w:szCs w:val="21"/>
        </w:rPr>
        <w:t>人民币元，本公司将部分或全部拒绝。该份额暂停上述大额业务期间，其他业务仍照常办理。本基金汇添富黄金及贵金属</w:t>
      </w:r>
      <w:r w:rsidRPr="00745B42">
        <w:rPr>
          <w:rFonts w:ascii="宋体" w:eastAsia="宋体" w:hAnsi="宋体" w:cs="宋体"/>
          <w:color w:val="000000"/>
          <w:szCs w:val="21"/>
        </w:rPr>
        <w:t>(QDII-LOF-FOF)A</w:t>
      </w:r>
      <w:r w:rsidRPr="00745B42">
        <w:rPr>
          <w:rFonts w:ascii="宋体" w:eastAsia="宋体" w:hAnsi="宋体" w:cs="宋体"/>
          <w:color w:val="000000"/>
          <w:szCs w:val="21"/>
        </w:rPr>
        <w:t>恢复大额申购、大额定期定额投资业务的具体时间将另行公告。</w:t>
      </w:r>
    </w:p>
    <w:p w:rsidR="00745B42" w:rsidRPr="00745B42" w:rsidRDefault="00C93B27" w:rsidP="00B778F6">
      <w:pPr>
        <w:spacing w:line="360" w:lineRule="auto"/>
        <w:rPr>
          <w:rFonts w:ascii="宋体" w:eastAsia="宋体" w:hAnsi="宋体" w:cs="宋体"/>
          <w:color w:val="000000"/>
          <w:szCs w:val="21"/>
        </w:rPr>
      </w:pPr>
      <w:r w:rsidRPr="00745B42">
        <w:rPr>
          <w:rFonts w:ascii="宋体" w:eastAsia="宋体" w:hAnsi="宋体" w:cs="宋体"/>
          <w:color w:val="000000"/>
          <w:szCs w:val="21"/>
        </w:rPr>
        <w:t>4</w:t>
      </w:r>
      <w:r w:rsidRPr="00745B42">
        <w:rPr>
          <w:rFonts w:ascii="宋体" w:eastAsia="宋体" w:hAnsi="宋体" w:cs="宋体"/>
          <w:color w:val="000000"/>
          <w:szCs w:val="21"/>
        </w:rPr>
        <w:t>、自</w:t>
      </w:r>
      <w:r w:rsidRPr="00745B42">
        <w:rPr>
          <w:rFonts w:ascii="宋体" w:eastAsia="宋体" w:hAnsi="宋体" w:cs="宋体"/>
          <w:color w:val="000000"/>
          <w:szCs w:val="21"/>
        </w:rPr>
        <w:t>2025</w:t>
      </w:r>
      <w:r w:rsidRPr="00745B42">
        <w:rPr>
          <w:rFonts w:ascii="宋体" w:eastAsia="宋体" w:hAnsi="宋体" w:cs="宋体"/>
          <w:color w:val="000000"/>
          <w:szCs w:val="21"/>
        </w:rPr>
        <w:t>年</w:t>
      </w:r>
      <w:r w:rsidRPr="00745B42">
        <w:rPr>
          <w:rFonts w:ascii="宋体" w:eastAsia="宋体" w:hAnsi="宋体" w:cs="宋体"/>
          <w:color w:val="000000"/>
          <w:szCs w:val="21"/>
        </w:rPr>
        <w:t>12</w:t>
      </w:r>
      <w:r w:rsidRPr="00745B42">
        <w:rPr>
          <w:rFonts w:ascii="宋体" w:eastAsia="宋体" w:hAnsi="宋体" w:cs="宋体"/>
          <w:color w:val="000000"/>
          <w:szCs w:val="21"/>
        </w:rPr>
        <w:t>月</w:t>
      </w:r>
      <w:r w:rsidRPr="00745B42">
        <w:rPr>
          <w:rFonts w:ascii="宋体" w:eastAsia="宋体" w:hAnsi="宋体" w:cs="宋体"/>
          <w:color w:val="000000"/>
          <w:szCs w:val="21"/>
        </w:rPr>
        <w:t>26</w:t>
      </w:r>
      <w:r w:rsidRPr="00745B42">
        <w:rPr>
          <w:rFonts w:ascii="宋体" w:eastAsia="宋体" w:hAnsi="宋体" w:cs="宋体"/>
          <w:color w:val="000000"/>
          <w:szCs w:val="21"/>
        </w:rPr>
        <w:t>日起（含</w:t>
      </w:r>
      <w:r w:rsidRPr="00745B42">
        <w:rPr>
          <w:rFonts w:ascii="宋体" w:eastAsia="宋体" w:hAnsi="宋体" w:cs="宋体"/>
          <w:color w:val="000000"/>
          <w:szCs w:val="21"/>
        </w:rPr>
        <w:t>2025</w:t>
      </w:r>
      <w:r w:rsidRPr="00745B42">
        <w:rPr>
          <w:rFonts w:ascii="宋体" w:eastAsia="宋体" w:hAnsi="宋体" w:cs="宋体"/>
          <w:color w:val="000000"/>
          <w:szCs w:val="21"/>
        </w:rPr>
        <w:t>年</w:t>
      </w:r>
      <w:r w:rsidRPr="00745B42">
        <w:rPr>
          <w:rFonts w:ascii="宋体" w:eastAsia="宋体" w:hAnsi="宋体" w:cs="宋体"/>
          <w:color w:val="000000"/>
          <w:szCs w:val="21"/>
        </w:rPr>
        <w:t>12</w:t>
      </w:r>
      <w:r w:rsidRPr="00745B42">
        <w:rPr>
          <w:rFonts w:ascii="宋体" w:eastAsia="宋体" w:hAnsi="宋体" w:cs="宋体"/>
          <w:color w:val="000000"/>
          <w:szCs w:val="21"/>
        </w:rPr>
        <w:t>月</w:t>
      </w:r>
      <w:r w:rsidRPr="00745B42">
        <w:rPr>
          <w:rFonts w:ascii="宋体" w:eastAsia="宋体" w:hAnsi="宋体" w:cs="宋体"/>
          <w:color w:val="000000"/>
          <w:szCs w:val="21"/>
        </w:rPr>
        <w:t>26</w:t>
      </w:r>
      <w:r w:rsidRPr="00745B42">
        <w:rPr>
          <w:rFonts w:ascii="宋体" w:eastAsia="宋体" w:hAnsi="宋体" w:cs="宋体"/>
          <w:color w:val="000000"/>
          <w:szCs w:val="21"/>
        </w:rPr>
        <w:t>日），汇添富黄金及贵金属</w:t>
      </w:r>
      <w:r w:rsidRPr="00745B42">
        <w:rPr>
          <w:rFonts w:ascii="宋体" w:eastAsia="宋体" w:hAnsi="宋体" w:cs="宋体"/>
          <w:color w:val="000000"/>
          <w:szCs w:val="21"/>
        </w:rPr>
        <w:t>(QDII-LOF-FOF)C</w:t>
      </w:r>
      <w:r w:rsidRPr="00745B42">
        <w:rPr>
          <w:rFonts w:ascii="宋体" w:eastAsia="宋体" w:hAnsi="宋体" w:cs="宋体"/>
          <w:color w:val="000000"/>
          <w:szCs w:val="21"/>
        </w:rPr>
        <w:t>调整大额申购、大额定期定额投资业务限制金额，单日单个基金账户单笔或多笔累计申购、定期定额投资的金额不应超过</w:t>
      </w:r>
      <w:r w:rsidRPr="00745B42">
        <w:rPr>
          <w:rFonts w:ascii="宋体" w:eastAsia="宋体" w:hAnsi="宋体" w:cs="宋体"/>
          <w:color w:val="000000"/>
          <w:szCs w:val="21"/>
        </w:rPr>
        <w:t>10</w:t>
      </w:r>
      <w:r w:rsidRPr="00745B42">
        <w:rPr>
          <w:rFonts w:ascii="宋体" w:eastAsia="宋体" w:hAnsi="宋体" w:cs="宋体"/>
          <w:color w:val="000000"/>
          <w:szCs w:val="21"/>
        </w:rPr>
        <w:t>人民币元（含</w:t>
      </w:r>
      <w:r w:rsidRPr="00745B42">
        <w:rPr>
          <w:rFonts w:ascii="宋体" w:eastAsia="宋体" w:hAnsi="宋体" w:cs="宋体"/>
          <w:color w:val="000000"/>
          <w:szCs w:val="21"/>
        </w:rPr>
        <w:t>10</w:t>
      </w:r>
      <w:r w:rsidRPr="00745B42">
        <w:rPr>
          <w:rFonts w:ascii="宋体" w:eastAsia="宋体" w:hAnsi="宋体" w:cs="宋体"/>
          <w:color w:val="000000"/>
          <w:szCs w:val="21"/>
        </w:rPr>
        <w:t>人民币元</w:t>
      </w:r>
      <w:r w:rsidRPr="00745B42">
        <w:rPr>
          <w:rFonts w:ascii="宋体" w:eastAsia="宋体" w:hAnsi="宋体" w:cs="宋体"/>
          <w:color w:val="000000"/>
          <w:szCs w:val="21"/>
        </w:rPr>
        <w:t xml:space="preserve"> </w:t>
      </w:r>
      <w:r w:rsidRPr="00745B42">
        <w:rPr>
          <w:rFonts w:ascii="宋体" w:eastAsia="宋体" w:hAnsi="宋体" w:cs="宋体"/>
          <w:color w:val="000000"/>
          <w:szCs w:val="21"/>
        </w:rPr>
        <w:t>）。当单日某基金账户单笔或多笔累计申购、定期定额投资该份额的金额超过</w:t>
      </w:r>
      <w:r w:rsidRPr="00745B42">
        <w:rPr>
          <w:rFonts w:ascii="宋体" w:eastAsia="宋体" w:hAnsi="宋体" w:cs="宋体"/>
          <w:color w:val="000000"/>
          <w:szCs w:val="21"/>
        </w:rPr>
        <w:t>10</w:t>
      </w:r>
      <w:r w:rsidRPr="00745B42">
        <w:rPr>
          <w:rFonts w:ascii="宋体" w:eastAsia="宋体" w:hAnsi="宋体" w:cs="宋体"/>
          <w:color w:val="000000"/>
          <w:szCs w:val="21"/>
        </w:rPr>
        <w:t>人民币元，本公司将部分或全部拒绝。该份额暂停上述大额业务期间，其他业务仍照常办理。本基金汇添富黄金及贵金属</w:t>
      </w:r>
      <w:r w:rsidRPr="00745B42">
        <w:rPr>
          <w:rFonts w:ascii="宋体" w:eastAsia="宋体" w:hAnsi="宋体" w:cs="宋体"/>
          <w:color w:val="000000"/>
          <w:szCs w:val="21"/>
        </w:rPr>
        <w:t>(QDII-LOF-FOF)C</w:t>
      </w:r>
      <w:r w:rsidRPr="00745B42">
        <w:rPr>
          <w:rFonts w:ascii="宋体" w:eastAsia="宋体" w:hAnsi="宋体" w:cs="宋体"/>
          <w:color w:val="000000"/>
          <w:szCs w:val="21"/>
        </w:rPr>
        <w:t>恢复大额申购、大额定期定额投资业务的具体时间将另行公告。</w:t>
      </w:r>
    </w:p>
    <w:p w:rsidR="00745B42" w:rsidRPr="00745B42" w:rsidRDefault="00C93B27" w:rsidP="00B778F6">
      <w:pPr>
        <w:spacing w:line="360" w:lineRule="auto"/>
        <w:rPr>
          <w:rFonts w:ascii="宋体" w:eastAsia="宋体" w:hAnsi="宋体" w:cs="宋体"/>
          <w:color w:val="000000"/>
          <w:szCs w:val="21"/>
        </w:rPr>
      </w:pPr>
      <w:r w:rsidRPr="00745B42">
        <w:rPr>
          <w:rFonts w:ascii="宋体" w:eastAsia="宋体" w:hAnsi="宋体" w:cs="宋体"/>
          <w:color w:val="000000"/>
          <w:szCs w:val="21"/>
        </w:rPr>
        <w:t>5</w:t>
      </w:r>
      <w:r w:rsidRPr="00745B42">
        <w:rPr>
          <w:rFonts w:ascii="宋体" w:eastAsia="宋体" w:hAnsi="宋体" w:cs="宋体"/>
          <w:color w:val="000000"/>
          <w:szCs w:val="21"/>
        </w:rPr>
        <w:t>、根据本公司于</w:t>
      </w:r>
      <w:r w:rsidRPr="00745B42">
        <w:rPr>
          <w:rFonts w:ascii="宋体" w:eastAsia="宋体" w:hAnsi="宋体" w:cs="宋体"/>
          <w:color w:val="000000"/>
          <w:szCs w:val="21"/>
        </w:rPr>
        <w:t>2025</w:t>
      </w:r>
      <w:r w:rsidRPr="00745B42">
        <w:rPr>
          <w:rFonts w:ascii="宋体" w:eastAsia="宋体" w:hAnsi="宋体" w:cs="宋体"/>
          <w:color w:val="000000"/>
          <w:szCs w:val="21"/>
        </w:rPr>
        <w:t>年</w:t>
      </w:r>
      <w:r w:rsidRPr="00745B42">
        <w:rPr>
          <w:rFonts w:ascii="宋体" w:eastAsia="宋体" w:hAnsi="宋体" w:cs="宋体"/>
          <w:color w:val="000000"/>
          <w:szCs w:val="21"/>
        </w:rPr>
        <w:t>12</w:t>
      </w:r>
      <w:r w:rsidRPr="00745B42">
        <w:rPr>
          <w:rFonts w:ascii="宋体" w:eastAsia="宋体" w:hAnsi="宋体" w:cs="宋体"/>
          <w:color w:val="000000"/>
          <w:szCs w:val="21"/>
        </w:rPr>
        <w:t>月</w:t>
      </w:r>
      <w:r w:rsidRPr="00745B42">
        <w:rPr>
          <w:rFonts w:ascii="宋体" w:eastAsia="宋体" w:hAnsi="宋体" w:cs="宋体"/>
          <w:color w:val="000000"/>
          <w:szCs w:val="21"/>
        </w:rPr>
        <w:t>23</w:t>
      </w:r>
      <w:r w:rsidRPr="00745B42">
        <w:rPr>
          <w:rFonts w:ascii="宋体" w:eastAsia="宋体" w:hAnsi="宋体" w:cs="宋体"/>
          <w:color w:val="000000"/>
          <w:szCs w:val="21"/>
        </w:rPr>
        <w:t>日发布的《关于汇添富黄金及贵金属证券投资基金（</w:t>
      </w:r>
      <w:r w:rsidRPr="00745B42">
        <w:rPr>
          <w:rFonts w:ascii="宋体" w:eastAsia="宋体" w:hAnsi="宋体" w:cs="宋体"/>
          <w:color w:val="000000"/>
          <w:szCs w:val="21"/>
        </w:rPr>
        <w:t>LOF</w:t>
      </w:r>
      <w:r w:rsidRPr="00745B42">
        <w:rPr>
          <w:rFonts w:ascii="宋体" w:eastAsia="宋体" w:hAnsi="宋体" w:cs="宋体"/>
          <w:color w:val="000000"/>
          <w:szCs w:val="21"/>
        </w:rPr>
        <w:t>）因境外主要市场节假日暂停申购、赎回、定期定额投资业务的公告》，本基金将于</w:t>
      </w:r>
      <w:r w:rsidRPr="00745B42">
        <w:rPr>
          <w:rFonts w:ascii="宋体" w:eastAsia="宋体" w:hAnsi="宋体" w:cs="宋体"/>
          <w:color w:val="000000"/>
          <w:szCs w:val="21"/>
        </w:rPr>
        <w:t>2025</w:t>
      </w:r>
      <w:r w:rsidRPr="00745B42">
        <w:rPr>
          <w:rFonts w:ascii="宋体" w:eastAsia="宋体" w:hAnsi="宋体" w:cs="宋体"/>
          <w:color w:val="000000"/>
          <w:szCs w:val="21"/>
        </w:rPr>
        <w:t>年</w:t>
      </w:r>
      <w:r w:rsidRPr="00745B42">
        <w:rPr>
          <w:rFonts w:ascii="宋体" w:eastAsia="宋体" w:hAnsi="宋体" w:cs="宋体"/>
          <w:color w:val="000000"/>
          <w:szCs w:val="21"/>
        </w:rPr>
        <w:t>12</w:t>
      </w:r>
      <w:r w:rsidRPr="00745B42">
        <w:rPr>
          <w:rFonts w:ascii="宋体" w:eastAsia="宋体" w:hAnsi="宋体" w:cs="宋体"/>
          <w:color w:val="000000"/>
          <w:szCs w:val="21"/>
        </w:rPr>
        <w:t>月</w:t>
      </w:r>
      <w:r w:rsidRPr="00745B42">
        <w:rPr>
          <w:rFonts w:ascii="宋体" w:eastAsia="宋体" w:hAnsi="宋体" w:cs="宋体"/>
          <w:color w:val="000000"/>
          <w:szCs w:val="21"/>
        </w:rPr>
        <w:t>25</w:t>
      </w:r>
      <w:r w:rsidRPr="00745B42">
        <w:rPr>
          <w:rFonts w:ascii="宋体" w:eastAsia="宋体" w:hAnsi="宋体" w:cs="宋体"/>
          <w:color w:val="000000"/>
          <w:szCs w:val="21"/>
        </w:rPr>
        <w:t>日暂停申购、赎回和定期定额投资业务，自</w:t>
      </w:r>
      <w:r w:rsidRPr="00745B42">
        <w:rPr>
          <w:rFonts w:ascii="宋体" w:eastAsia="宋体" w:hAnsi="宋体" w:cs="宋体"/>
          <w:color w:val="000000"/>
          <w:szCs w:val="21"/>
        </w:rPr>
        <w:t>2025</w:t>
      </w:r>
      <w:r w:rsidRPr="00745B42">
        <w:rPr>
          <w:rFonts w:ascii="宋体" w:eastAsia="宋体" w:hAnsi="宋体" w:cs="宋体"/>
          <w:color w:val="000000"/>
          <w:szCs w:val="21"/>
        </w:rPr>
        <w:t>年</w:t>
      </w:r>
      <w:r w:rsidRPr="00745B42">
        <w:rPr>
          <w:rFonts w:ascii="宋体" w:eastAsia="宋体" w:hAnsi="宋体" w:cs="宋体"/>
          <w:color w:val="000000"/>
          <w:szCs w:val="21"/>
        </w:rPr>
        <w:t>12</w:t>
      </w:r>
      <w:r w:rsidRPr="00745B42">
        <w:rPr>
          <w:rFonts w:ascii="宋体" w:eastAsia="宋体" w:hAnsi="宋体" w:cs="宋体"/>
          <w:color w:val="000000"/>
          <w:szCs w:val="21"/>
        </w:rPr>
        <w:t>月</w:t>
      </w:r>
      <w:r w:rsidRPr="00745B42">
        <w:rPr>
          <w:rFonts w:ascii="宋体" w:eastAsia="宋体" w:hAnsi="宋体" w:cs="宋体"/>
          <w:color w:val="000000"/>
          <w:szCs w:val="21"/>
        </w:rPr>
        <w:t>26</w:t>
      </w:r>
      <w:r w:rsidRPr="00745B42">
        <w:rPr>
          <w:rFonts w:ascii="宋体" w:eastAsia="宋体" w:hAnsi="宋体" w:cs="宋体"/>
          <w:color w:val="000000"/>
          <w:szCs w:val="21"/>
        </w:rPr>
        <w:t>日起将恢复办理前述业务。但该公告中</w:t>
      </w:r>
      <w:r w:rsidRPr="00745B42">
        <w:rPr>
          <w:rFonts w:ascii="宋体" w:eastAsia="宋体" w:hAnsi="宋体" w:cs="宋体"/>
          <w:color w:val="000000"/>
          <w:szCs w:val="21"/>
        </w:rPr>
        <w:t>“</w:t>
      </w:r>
      <w:r w:rsidRPr="00745B42">
        <w:rPr>
          <w:rFonts w:ascii="宋体" w:eastAsia="宋体" w:hAnsi="宋体" w:cs="宋体"/>
          <w:color w:val="000000"/>
          <w:szCs w:val="21"/>
        </w:rPr>
        <w:t>申购限额仍为</w:t>
      </w:r>
      <w:r w:rsidRPr="00745B42">
        <w:rPr>
          <w:rFonts w:ascii="宋体" w:eastAsia="宋体" w:hAnsi="宋体" w:cs="宋体"/>
          <w:color w:val="000000"/>
          <w:szCs w:val="21"/>
        </w:rPr>
        <w:t>5000</w:t>
      </w:r>
      <w:r w:rsidRPr="00745B42">
        <w:rPr>
          <w:rFonts w:ascii="宋体" w:eastAsia="宋体" w:hAnsi="宋体" w:cs="宋体"/>
          <w:color w:val="000000"/>
          <w:szCs w:val="21"/>
        </w:rPr>
        <w:t>人民币元</w:t>
      </w:r>
      <w:r w:rsidRPr="00745B42">
        <w:rPr>
          <w:rFonts w:ascii="宋体" w:eastAsia="宋体" w:hAnsi="宋体" w:cs="宋体"/>
          <w:color w:val="000000"/>
          <w:szCs w:val="21"/>
        </w:rPr>
        <w:t>”</w:t>
      </w:r>
      <w:r w:rsidRPr="00745B42">
        <w:rPr>
          <w:rFonts w:ascii="宋体" w:eastAsia="宋体" w:hAnsi="宋体" w:cs="宋体"/>
          <w:color w:val="000000"/>
          <w:szCs w:val="21"/>
        </w:rPr>
        <w:t>的表述将不再适用。</w:t>
      </w:r>
    </w:p>
    <w:p w:rsidR="00745B42" w:rsidRPr="00745B42" w:rsidRDefault="00C93B27" w:rsidP="00C93B27">
      <w:pPr>
        <w:keepNext/>
        <w:keepLines/>
        <w:spacing w:beforeLines="50" w:afterLines="50" w:line="360" w:lineRule="auto"/>
        <w:jc w:val="left"/>
        <w:outlineLvl w:val="1"/>
        <w:rPr>
          <w:rFonts w:ascii="Times New Roman" w:eastAsia="宋体" w:hAnsi="Times New Roman" w:cs="Times New Roman"/>
          <w:b/>
          <w:sz w:val="24"/>
          <w:szCs w:val="24"/>
        </w:rPr>
      </w:pPr>
      <w:r w:rsidRPr="00745B42">
        <w:rPr>
          <w:rFonts w:ascii="Times New Roman" w:eastAsia="宋体" w:hAnsi="Times New Roman" w:cs="Times New Roman"/>
          <w:b/>
          <w:sz w:val="24"/>
          <w:szCs w:val="24"/>
        </w:rPr>
        <w:t xml:space="preserve">2 </w:t>
      </w:r>
      <w:bookmarkStart w:id="1" w:name="t_3_2_table"/>
      <w:bookmarkEnd w:id="1"/>
      <w:r w:rsidRPr="00745B42">
        <w:rPr>
          <w:rFonts w:ascii="Times New Roman" w:eastAsia="宋体" w:hAnsi="宋体" w:cs="Times New Roman" w:hint="eastAsia"/>
          <w:b/>
          <w:sz w:val="24"/>
          <w:szCs w:val="24"/>
        </w:rPr>
        <w:t>其他需要提示的事项</w:t>
      </w:r>
    </w:p>
    <w:p w:rsidR="00787C4C" w:rsidRDefault="00C93B27" w:rsidP="00B778F6">
      <w:pPr>
        <w:spacing w:line="360" w:lineRule="auto"/>
        <w:ind w:firstLineChars="200" w:firstLine="480"/>
        <w:rPr>
          <w:rFonts w:ascii="宋体" w:eastAsia="宋体" w:hAnsi="宋体" w:cs="宋体"/>
          <w:color w:val="000000"/>
          <w:sz w:val="24"/>
          <w:szCs w:val="24"/>
        </w:rPr>
      </w:pPr>
      <w:r>
        <w:rPr>
          <w:rFonts w:ascii="宋体" w:eastAsia="宋体" w:hAnsi="宋体" w:cs="宋体"/>
          <w:color w:val="000000"/>
          <w:sz w:val="24"/>
          <w:szCs w:val="24"/>
        </w:rPr>
        <w:t>投资者可以通过拨打本公司客服热线（</w:t>
      </w:r>
      <w:r>
        <w:rPr>
          <w:rFonts w:ascii="宋体" w:eastAsia="宋体" w:hAnsi="宋体" w:cs="宋体"/>
          <w:color w:val="000000"/>
          <w:sz w:val="24"/>
          <w:szCs w:val="24"/>
        </w:rPr>
        <w:t>400-888-9918</w:t>
      </w:r>
      <w:r>
        <w:rPr>
          <w:rFonts w:ascii="宋体" w:eastAsia="宋体" w:hAnsi="宋体" w:cs="宋体"/>
          <w:color w:val="000000"/>
          <w:sz w:val="24"/>
          <w:szCs w:val="24"/>
        </w:rPr>
        <w:t>）或登录本公司网站（</w:t>
      </w:r>
      <w:r>
        <w:rPr>
          <w:rFonts w:ascii="宋体" w:eastAsia="宋体" w:hAnsi="宋体" w:cs="宋体"/>
          <w:color w:val="000000"/>
          <w:sz w:val="24"/>
          <w:szCs w:val="24"/>
        </w:rPr>
        <w:t>www.99fund.com</w:t>
      </w:r>
      <w:r>
        <w:rPr>
          <w:rFonts w:ascii="宋体" w:eastAsia="宋体" w:hAnsi="宋体" w:cs="宋体"/>
          <w:color w:val="000000"/>
          <w:sz w:val="24"/>
          <w:szCs w:val="24"/>
        </w:rPr>
        <w:t>）获取相关信息。</w:t>
      </w:r>
      <w:r>
        <w:rPr>
          <w:rFonts w:ascii="宋体" w:eastAsia="宋体" w:hAnsi="宋体" w:cs="宋体"/>
          <w:color w:val="000000"/>
          <w:sz w:val="24"/>
          <w:szCs w:val="24"/>
        </w:rPr>
        <w:t xml:space="preserve"> </w:t>
      </w:r>
    </w:p>
    <w:p w:rsidR="00787C4C" w:rsidRDefault="00C93B27" w:rsidP="00B778F6">
      <w:pPr>
        <w:spacing w:line="360" w:lineRule="auto"/>
        <w:ind w:firstLineChars="200" w:firstLine="480"/>
        <w:rPr>
          <w:rFonts w:ascii="宋体" w:eastAsia="宋体" w:hAnsi="宋体" w:cs="宋体"/>
          <w:color w:val="000000"/>
          <w:sz w:val="24"/>
          <w:szCs w:val="24"/>
        </w:rPr>
      </w:pPr>
      <w:r>
        <w:rPr>
          <w:rFonts w:ascii="宋体" w:eastAsia="宋体" w:hAnsi="宋体" w:cs="宋体"/>
          <w:color w:val="000000"/>
          <w:sz w:val="24"/>
          <w:szCs w:val="24"/>
        </w:rPr>
        <w:t>汇添富基金高度重视投资者服务和投资者教</w:t>
      </w:r>
      <w:r>
        <w:rPr>
          <w:rFonts w:ascii="宋体" w:eastAsia="宋体" w:hAnsi="宋体" w:cs="宋体"/>
          <w:color w:val="000000"/>
          <w:sz w:val="24"/>
          <w:szCs w:val="24"/>
        </w:rPr>
        <w:t>育，特此提醒投资者需正确认知基金投资的风险和长期收益，做理性的基金投资人，做明白的基金投资人，享受长期投资的快乐！</w:t>
      </w:r>
      <w:r>
        <w:rPr>
          <w:rFonts w:ascii="宋体" w:eastAsia="宋体" w:hAnsi="宋体" w:cs="宋体"/>
          <w:color w:val="000000"/>
          <w:sz w:val="24"/>
          <w:szCs w:val="24"/>
        </w:rPr>
        <w:t xml:space="preserve"> </w:t>
      </w:r>
    </w:p>
    <w:p w:rsidR="00787C4C" w:rsidRDefault="00C93B27" w:rsidP="00B778F6">
      <w:pPr>
        <w:spacing w:line="360" w:lineRule="auto"/>
        <w:ind w:firstLineChars="200" w:firstLine="480"/>
        <w:rPr>
          <w:rFonts w:ascii="宋体" w:eastAsia="宋体" w:hAnsi="宋体" w:cs="宋体"/>
          <w:color w:val="000000"/>
          <w:sz w:val="24"/>
          <w:szCs w:val="24"/>
        </w:rPr>
      </w:pPr>
      <w:r>
        <w:rPr>
          <w:rFonts w:ascii="宋体" w:eastAsia="宋体" w:hAnsi="宋体" w:cs="宋体"/>
          <w:color w:val="000000"/>
          <w:sz w:val="24"/>
          <w:szCs w:val="24"/>
        </w:rPr>
        <w:t>特此公告。</w:t>
      </w:r>
    </w:p>
    <w:p w:rsidR="00745B42" w:rsidRDefault="00745B42" w:rsidP="00B778F6">
      <w:pPr>
        <w:spacing w:line="360" w:lineRule="auto"/>
        <w:ind w:firstLineChars="200" w:firstLine="480"/>
        <w:rPr>
          <w:rFonts w:ascii="宋体" w:eastAsia="宋体" w:hAnsi="宋体" w:cs="Times New Roman"/>
          <w:sz w:val="24"/>
          <w:szCs w:val="24"/>
        </w:rPr>
      </w:pPr>
    </w:p>
    <w:p w:rsidR="00745B42" w:rsidRDefault="00C93B27" w:rsidP="00B778F6">
      <w:pPr>
        <w:spacing w:line="360" w:lineRule="auto"/>
        <w:ind w:firstLineChars="200" w:firstLine="480"/>
        <w:jc w:val="right"/>
        <w:rPr>
          <w:rFonts w:ascii="宋体" w:eastAsia="宋体" w:hAnsi="宋体" w:cs="宋体"/>
          <w:color w:val="000000"/>
          <w:sz w:val="24"/>
          <w:szCs w:val="24"/>
        </w:rPr>
      </w:pPr>
      <w:bookmarkStart w:id="2" w:name="_GoBack"/>
      <w:r>
        <w:rPr>
          <w:rFonts w:ascii="宋体" w:eastAsia="宋体" w:hAnsi="宋体" w:cs="宋体"/>
          <w:color w:val="000000"/>
          <w:sz w:val="24"/>
          <w:szCs w:val="24"/>
        </w:rPr>
        <w:t>汇添富基金管理股份有限公司</w:t>
      </w:r>
    </w:p>
    <w:p w:rsidR="000362A3" w:rsidRPr="00745B42" w:rsidRDefault="00C93B27" w:rsidP="00B778F6">
      <w:pPr>
        <w:spacing w:line="360" w:lineRule="auto"/>
        <w:ind w:firstLineChars="200" w:firstLine="480"/>
        <w:jc w:val="right"/>
        <w:rPr>
          <w:rFonts w:ascii="宋体" w:eastAsia="宋体" w:hAnsi="宋体" w:cs="Times New Roman"/>
          <w:sz w:val="24"/>
          <w:szCs w:val="24"/>
        </w:rPr>
      </w:pPr>
      <w:r>
        <w:rPr>
          <w:rFonts w:ascii="宋体" w:eastAsia="宋体" w:hAnsi="宋体" w:cs="宋体"/>
          <w:color w:val="000000"/>
          <w:sz w:val="24"/>
          <w:szCs w:val="24"/>
        </w:rPr>
        <w:t>2025</w:t>
      </w:r>
      <w:r>
        <w:rPr>
          <w:rFonts w:ascii="宋体" w:eastAsia="宋体" w:hAnsi="宋体" w:cs="宋体"/>
          <w:color w:val="000000"/>
          <w:sz w:val="24"/>
          <w:szCs w:val="24"/>
        </w:rPr>
        <w:t>年</w:t>
      </w:r>
      <w:r>
        <w:rPr>
          <w:rFonts w:ascii="宋体" w:eastAsia="宋体" w:hAnsi="宋体" w:cs="宋体"/>
          <w:color w:val="000000"/>
          <w:sz w:val="24"/>
          <w:szCs w:val="24"/>
        </w:rPr>
        <w:t>12</w:t>
      </w:r>
      <w:r>
        <w:rPr>
          <w:rFonts w:ascii="宋体" w:eastAsia="宋体" w:hAnsi="宋体" w:cs="宋体"/>
          <w:color w:val="000000"/>
          <w:sz w:val="24"/>
          <w:szCs w:val="24"/>
        </w:rPr>
        <w:t>月</w:t>
      </w:r>
      <w:r>
        <w:rPr>
          <w:rFonts w:ascii="宋体" w:eastAsia="宋体" w:hAnsi="宋体" w:cs="宋体"/>
          <w:color w:val="000000"/>
          <w:sz w:val="24"/>
          <w:szCs w:val="24"/>
        </w:rPr>
        <w:t>26</w:t>
      </w:r>
      <w:r>
        <w:rPr>
          <w:rFonts w:ascii="宋体" w:eastAsia="宋体" w:hAnsi="宋体" w:cs="宋体"/>
          <w:color w:val="000000"/>
          <w:sz w:val="24"/>
          <w:szCs w:val="24"/>
        </w:rPr>
        <w:t>日</w:t>
      </w:r>
      <w:bookmarkEnd w:id="2"/>
    </w:p>
    <w:sectPr w:rsidR="000362A3" w:rsidRPr="00745B42" w:rsidSect="00224C4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modern"/>
    <w:notTrueType/>
    <w:pitch w:val="fixed"/>
    <w:sig w:usb0="00000001" w:usb1="080E0000" w:usb2="00000010" w:usb3="00000000" w:csb0="00040000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KGWebUrl" w:val="http://rms.htffund.com/UI/api/WebOffice/PageLoad"/>
  </w:docVars>
  <w:rsids>
    <w:rsidRoot w:val="00745B42"/>
    <w:rsid w:val="000362A3"/>
    <w:rsid w:val="00650CB3"/>
    <w:rsid w:val="00745B42"/>
    <w:rsid w:val="00787C4C"/>
    <w:rsid w:val="00872445"/>
    <w:rsid w:val="00B23B90"/>
    <w:rsid w:val="00B40DE1"/>
    <w:rsid w:val="00B778F6"/>
    <w:rsid w:val="00B938DD"/>
    <w:rsid w:val="00BD71CE"/>
    <w:rsid w:val="00C93B27"/>
    <w:rsid w:val="00CD0296"/>
    <w:rsid w:val="00CF7360"/>
    <w:rsid w:val="00D412BA"/>
    <w:rsid w:val="00E61199"/>
    <w:rsid w:val="00E971A9"/>
    <w:rsid w:val="00F311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3B90"/>
    <w:pPr>
      <w:widowControl w:val="0"/>
      <w:jc w:val="both"/>
    </w:pPr>
  </w:style>
  <w:style w:type="paragraph" w:styleId="2">
    <w:name w:val="heading 2"/>
    <w:basedOn w:val="a"/>
    <w:next w:val="a"/>
    <w:link w:val="2Char"/>
    <w:uiPriority w:val="9"/>
    <w:qFormat/>
    <w:rsid w:val="00745B42"/>
    <w:pPr>
      <w:keepNext/>
      <w:keepLines/>
      <w:spacing w:before="260" w:after="260" w:line="416" w:lineRule="auto"/>
      <w:outlineLvl w:val="1"/>
    </w:pPr>
    <w:rPr>
      <w:rFonts w:ascii="Arial" w:eastAsia="黑体" w:hAnsi="Arial" w:cs="Times New Roman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uiPriority w:val="9"/>
    <w:rsid w:val="00745B42"/>
    <w:rPr>
      <w:rFonts w:ascii="Arial" w:eastAsia="黑体" w:hAnsi="Arial" w:cs="Times New Roman"/>
      <w:b/>
      <w:bCs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235</Words>
  <Characters>1344</Characters>
  <Application>Microsoft Office Word</Application>
  <DocSecurity>4</DocSecurity>
  <Lines>11</Lines>
  <Paragraphs>3</Paragraphs>
  <ScaleCrop>false</ScaleCrop>
  <Company/>
  <LinksUpToDate>false</LinksUpToDate>
  <CharactersWithSpaces>1576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68.69</dc:creator>
  <cp:lastModifiedBy>ZHONGM</cp:lastModifiedBy>
  <cp:revision>2</cp:revision>
  <dcterms:created xsi:type="dcterms:W3CDTF">2025-12-25T16:01:00Z</dcterms:created>
  <dcterms:modified xsi:type="dcterms:W3CDTF">2025-12-25T16:01:00Z</dcterms:modified>
</cp:coreProperties>
</file>