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0A4" w:rsidRDefault="00E90FD7">
      <w:pPr>
        <w:pStyle w:val="1"/>
      </w:pPr>
      <w:r>
        <w:rPr>
          <w:rFonts w:hint="eastAsia"/>
        </w:rPr>
        <w:t>富国首创水务封闭式基础设施证券投资基金</w:t>
      </w:r>
    </w:p>
    <w:p w:rsidR="002E10A4" w:rsidRDefault="00E90FD7">
      <w:pPr>
        <w:pStyle w:val="1"/>
      </w:pPr>
      <w:r>
        <w:t>关于</w:t>
      </w:r>
      <w:bookmarkStart w:id="0" w:name="_GoBack"/>
      <w:bookmarkEnd w:id="0"/>
      <w:r>
        <w:rPr>
          <w:rFonts w:hint="eastAsia"/>
        </w:rPr>
        <w:t>运营管理机构</w:t>
      </w:r>
      <w:r>
        <w:rPr>
          <w:rFonts w:hint="eastAsia"/>
        </w:rPr>
        <w:t>董事长、法定代表人及</w:t>
      </w:r>
      <w:r>
        <w:rPr>
          <w:rFonts w:hint="eastAsia"/>
        </w:rPr>
        <w:t>高级管理人员</w:t>
      </w:r>
    </w:p>
    <w:p w:rsidR="002E10A4" w:rsidRDefault="00E90FD7">
      <w:pPr>
        <w:pStyle w:val="1"/>
      </w:pPr>
      <w:r>
        <w:rPr>
          <w:rFonts w:hint="eastAsia"/>
        </w:rPr>
        <w:t>变动</w:t>
      </w:r>
      <w:r>
        <w:t>的公告</w:t>
      </w:r>
    </w:p>
    <w:p w:rsidR="002E10A4" w:rsidRDefault="002E10A4">
      <w:pPr>
        <w:pStyle w:val="a7"/>
        <w:snapToGrid w:val="0"/>
        <w:spacing w:before="0" w:beforeAutospacing="0" w:after="0" w:afterAutospacing="0" w:line="360" w:lineRule="auto"/>
        <w:ind w:firstLine="600"/>
        <w:jc w:val="both"/>
        <w:rPr>
          <w:rFonts w:ascii="Times New Roman" w:eastAsia="仿宋_GB2312" w:hAnsi="Times New Roman" w:cs="Times New Roman"/>
          <w:sz w:val="30"/>
          <w:szCs w:val="30"/>
        </w:rPr>
      </w:pPr>
    </w:p>
    <w:p w:rsidR="002E10A4" w:rsidRDefault="00E90FD7">
      <w:pPr>
        <w:pStyle w:val="2"/>
        <w:ind w:left="420" w:hanging="420"/>
        <w:rPr>
          <w:rStyle w:val="a9"/>
          <w:b/>
          <w:bCs w:val="0"/>
          <w:szCs w:val="21"/>
        </w:rPr>
      </w:pPr>
      <w:r>
        <w:rPr>
          <w:rStyle w:val="a9"/>
          <w:b/>
          <w:bCs w:val="0"/>
          <w:szCs w:val="21"/>
        </w:rPr>
        <w:t>一、公募</w:t>
      </w:r>
      <w:r>
        <w:rPr>
          <w:rStyle w:val="a9"/>
          <w:b/>
          <w:bCs w:val="0"/>
          <w:szCs w:val="21"/>
        </w:rPr>
        <w:t>REITs</w:t>
      </w:r>
      <w:r>
        <w:rPr>
          <w:rStyle w:val="a9"/>
          <w:b/>
          <w:bCs w:val="0"/>
          <w:szCs w:val="21"/>
        </w:rPr>
        <w:t>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4966"/>
      </w:tblGrid>
      <w:tr w:rsidR="002E10A4">
        <w:trPr>
          <w:trHeight w:val="349"/>
          <w:jc w:val="center"/>
        </w:trPr>
        <w:tc>
          <w:tcPr>
            <w:tcW w:w="2830" w:type="dxa"/>
            <w:vAlign w:val="center"/>
          </w:tcPr>
          <w:p w:rsidR="002E10A4" w:rsidRDefault="00E90FD7">
            <w:pPr>
              <w:pStyle w:val="aa"/>
              <w:spacing w:line="360" w:lineRule="auto"/>
              <w:ind w:firstLineChars="0" w:firstLine="0"/>
              <w:jc w:val="left"/>
              <w:rPr>
                <w:rFonts w:ascii="宋体" w:eastAsia="宋体" w:hAnsi="宋体" w:cstheme="minorBidi"/>
                <w:sz w:val="24"/>
                <w:szCs w:val="24"/>
              </w:rPr>
            </w:pPr>
            <w:r>
              <w:rPr>
                <w:rFonts w:ascii="宋体" w:eastAsia="宋体" w:hAnsi="宋体" w:cstheme="minorBidi" w:hint="eastAsia"/>
                <w:sz w:val="24"/>
                <w:szCs w:val="24"/>
              </w:rPr>
              <w:t>公募</w:t>
            </w:r>
            <w:r>
              <w:rPr>
                <w:rFonts w:ascii="宋体" w:eastAsia="宋体" w:hAnsi="宋体" w:cstheme="minorBidi" w:hint="eastAsia"/>
                <w:sz w:val="24"/>
                <w:szCs w:val="24"/>
              </w:rPr>
              <w:t>REITs</w:t>
            </w:r>
            <w:r>
              <w:rPr>
                <w:rFonts w:ascii="宋体" w:eastAsia="宋体" w:hAnsi="宋体" w:cstheme="minorBidi" w:hint="eastAsia"/>
                <w:sz w:val="24"/>
                <w:szCs w:val="24"/>
              </w:rPr>
              <w:t>名称</w:t>
            </w:r>
          </w:p>
        </w:tc>
        <w:tc>
          <w:tcPr>
            <w:tcW w:w="4966" w:type="dxa"/>
            <w:vAlign w:val="center"/>
          </w:tcPr>
          <w:p w:rsidR="002E10A4" w:rsidRDefault="00E90FD7">
            <w:pPr>
              <w:pStyle w:val="aa"/>
              <w:spacing w:line="360" w:lineRule="auto"/>
              <w:ind w:firstLineChars="0" w:firstLine="0"/>
              <w:jc w:val="left"/>
              <w:rPr>
                <w:rFonts w:ascii="宋体" w:eastAsia="宋体" w:hAnsi="宋体" w:cstheme="minorBidi"/>
                <w:sz w:val="24"/>
                <w:szCs w:val="24"/>
              </w:rPr>
            </w:pPr>
            <w:r>
              <w:rPr>
                <w:rFonts w:ascii="宋体" w:eastAsia="宋体" w:hAnsi="宋体" w:cstheme="minorBidi" w:hint="eastAsia"/>
                <w:sz w:val="24"/>
                <w:szCs w:val="24"/>
              </w:rPr>
              <w:t>富国首创水务封闭式基础设施证券投资基金</w:t>
            </w:r>
          </w:p>
        </w:tc>
      </w:tr>
      <w:tr w:rsidR="002E10A4">
        <w:trPr>
          <w:trHeight w:val="299"/>
          <w:jc w:val="center"/>
        </w:trPr>
        <w:tc>
          <w:tcPr>
            <w:tcW w:w="2830" w:type="dxa"/>
            <w:vAlign w:val="center"/>
          </w:tcPr>
          <w:p w:rsidR="002E10A4" w:rsidRDefault="00E90FD7">
            <w:pPr>
              <w:pStyle w:val="aa"/>
              <w:spacing w:line="360" w:lineRule="auto"/>
              <w:ind w:firstLineChars="0" w:firstLine="0"/>
              <w:jc w:val="left"/>
              <w:rPr>
                <w:rFonts w:ascii="宋体" w:eastAsia="宋体" w:hAnsi="宋体" w:cstheme="minorBidi"/>
                <w:sz w:val="24"/>
                <w:szCs w:val="24"/>
              </w:rPr>
            </w:pPr>
            <w:r>
              <w:rPr>
                <w:rFonts w:ascii="宋体" w:eastAsia="宋体" w:hAnsi="宋体" w:cstheme="minorBidi" w:hint="eastAsia"/>
                <w:sz w:val="24"/>
                <w:szCs w:val="24"/>
              </w:rPr>
              <w:t>公募</w:t>
            </w:r>
            <w:r>
              <w:rPr>
                <w:rFonts w:ascii="宋体" w:eastAsia="宋体" w:hAnsi="宋体" w:cstheme="minorBidi" w:hint="eastAsia"/>
                <w:sz w:val="24"/>
                <w:szCs w:val="24"/>
              </w:rPr>
              <w:t>REITs</w:t>
            </w:r>
            <w:r>
              <w:rPr>
                <w:rFonts w:ascii="宋体" w:eastAsia="宋体" w:hAnsi="宋体" w:cstheme="minorBidi" w:hint="eastAsia"/>
                <w:sz w:val="24"/>
                <w:szCs w:val="24"/>
              </w:rPr>
              <w:t>简称</w:t>
            </w:r>
          </w:p>
        </w:tc>
        <w:tc>
          <w:tcPr>
            <w:tcW w:w="4966" w:type="dxa"/>
            <w:vAlign w:val="center"/>
          </w:tcPr>
          <w:p w:rsidR="002E10A4" w:rsidRDefault="00E90FD7">
            <w:pPr>
              <w:pStyle w:val="aa"/>
              <w:spacing w:line="360" w:lineRule="auto"/>
              <w:ind w:firstLineChars="0" w:firstLine="0"/>
              <w:jc w:val="left"/>
              <w:rPr>
                <w:rFonts w:ascii="宋体" w:eastAsia="宋体" w:hAnsi="宋体" w:cstheme="minorBidi"/>
                <w:sz w:val="24"/>
                <w:szCs w:val="24"/>
              </w:rPr>
            </w:pPr>
            <w:r>
              <w:rPr>
                <w:rFonts w:ascii="宋体" w:eastAsia="宋体" w:hAnsi="宋体" w:cstheme="minorBidi" w:hint="eastAsia"/>
                <w:sz w:val="24"/>
                <w:szCs w:val="24"/>
              </w:rPr>
              <w:t>富国首创水务</w:t>
            </w:r>
            <w:r>
              <w:rPr>
                <w:rFonts w:ascii="宋体" w:eastAsia="宋体" w:hAnsi="宋体" w:cstheme="minorBidi" w:hint="eastAsia"/>
                <w:sz w:val="24"/>
                <w:szCs w:val="24"/>
              </w:rPr>
              <w:t>REIT</w:t>
            </w:r>
          </w:p>
        </w:tc>
      </w:tr>
      <w:tr w:rsidR="002E10A4">
        <w:trPr>
          <w:trHeight w:val="391"/>
          <w:jc w:val="center"/>
        </w:trPr>
        <w:tc>
          <w:tcPr>
            <w:tcW w:w="2830" w:type="dxa"/>
            <w:vAlign w:val="center"/>
          </w:tcPr>
          <w:p w:rsidR="002E10A4" w:rsidRDefault="00E90FD7">
            <w:pPr>
              <w:pStyle w:val="aa"/>
              <w:spacing w:line="360" w:lineRule="auto"/>
              <w:ind w:firstLineChars="0" w:firstLine="0"/>
              <w:jc w:val="left"/>
              <w:rPr>
                <w:rFonts w:ascii="宋体" w:eastAsia="宋体" w:hAnsi="宋体" w:cstheme="minorBidi"/>
                <w:sz w:val="24"/>
                <w:szCs w:val="24"/>
              </w:rPr>
            </w:pPr>
            <w:r>
              <w:rPr>
                <w:rFonts w:ascii="宋体" w:eastAsia="宋体" w:hAnsi="宋体" w:cstheme="minorBidi" w:hint="eastAsia"/>
                <w:sz w:val="24"/>
                <w:szCs w:val="24"/>
              </w:rPr>
              <w:t>公募</w:t>
            </w:r>
            <w:r>
              <w:rPr>
                <w:rFonts w:ascii="宋体" w:eastAsia="宋体" w:hAnsi="宋体" w:cstheme="minorBidi" w:hint="eastAsia"/>
                <w:sz w:val="24"/>
                <w:szCs w:val="24"/>
              </w:rPr>
              <w:t>REITs</w:t>
            </w:r>
            <w:r>
              <w:rPr>
                <w:rFonts w:ascii="宋体" w:eastAsia="宋体" w:hAnsi="宋体" w:cstheme="minorBidi" w:hint="eastAsia"/>
                <w:sz w:val="24"/>
                <w:szCs w:val="24"/>
              </w:rPr>
              <w:t>代码</w:t>
            </w:r>
          </w:p>
        </w:tc>
        <w:tc>
          <w:tcPr>
            <w:tcW w:w="4966" w:type="dxa"/>
            <w:vAlign w:val="center"/>
          </w:tcPr>
          <w:p w:rsidR="002E10A4" w:rsidRDefault="00E90FD7">
            <w:pPr>
              <w:pStyle w:val="aa"/>
              <w:spacing w:line="360" w:lineRule="auto"/>
              <w:ind w:firstLineChars="0" w:firstLine="0"/>
              <w:jc w:val="left"/>
              <w:rPr>
                <w:rFonts w:ascii="宋体" w:eastAsia="宋体" w:hAnsi="宋体" w:cstheme="minorBidi"/>
                <w:sz w:val="24"/>
                <w:szCs w:val="24"/>
              </w:rPr>
            </w:pPr>
            <w:r>
              <w:rPr>
                <w:rFonts w:ascii="宋体" w:eastAsia="宋体" w:hAnsi="宋体" w:cstheme="minorBidi" w:hint="eastAsia"/>
                <w:sz w:val="24"/>
                <w:szCs w:val="24"/>
              </w:rPr>
              <w:t>508006</w:t>
            </w:r>
          </w:p>
        </w:tc>
      </w:tr>
      <w:tr w:rsidR="002E10A4">
        <w:trPr>
          <w:trHeight w:val="391"/>
          <w:jc w:val="center"/>
        </w:trPr>
        <w:tc>
          <w:tcPr>
            <w:tcW w:w="2830" w:type="dxa"/>
            <w:vAlign w:val="center"/>
          </w:tcPr>
          <w:p w:rsidR="002E10A4" w:rsidRDefault="00E90FD7">
            <w:pPr>
              <w:pStyle w:val="aa"/>
              <w:spacing w:line="360" w:lineRule="auto"/>
              <w:ind w:firstLineChars="0" w:firstLine="0"/>
              <w:jc w:val="left"/>
              <w:rPr>
                <w:rFonts w:ascii="宋体" w:eastAsia="宋体" w:hAnsi="宋体" w:cstheme="minorBidi"/>
                <w:sz w:val="24"/>
                <w:szCs w:val="24"/>
              </w:rPr>
            </w:pPr>
            <w:r>
              <w:rPr>
                <w:rFonts w:ascii="宋体" w:eastAsia="宋体" w:hAnsi="宋体" w:cstheme="minorBidi" w:hint="eastAsia"/>
                <w:sz w:val="24"/>
                <w:szCs w:val="24"/>
              </w:rPr>
              <w:t>公募</w:t>
            </w:r>
            <w:r>
              <w:rPr>
                <w:rFonts w:ascii="宋体" w:eastAsia="宋体" w:hAnsi="宋体" w:cstheme="minorBidi" w:hint="eastAsia"/>
                <w:sz w:val="24"/>
                <w:szCs w:val="24"/>
              </w:rPr>
              <w:t>REITs</w:t>
            </w:r>
            <w:r>
              <w:rPr>
                <w:rFonts w:ascii="宋体" w:eastAsia="宋体" w:hAnsi="宋体" w:cstheme="minorBidi" w:hint="eastAsia"/>
                <w:sz w:val="24"/>
                <w:szCs w:val="24"/>
              </w:rPr>
              <w:t>合同生效日</w:t>
            </w:r>
          </w:p>
        </w:tc>
        <w:tc>
          <w:tcPr>
            <w:tcW w:w="4966" w:type="dxa"/>
            <w:vAlign w:val="center"/>
          </w:tcPr>
          <w:p w:rsidR="002E10A4" w:rsidRDefault="00E90FD7">
            <w:pPr>
              <w:pStyle w:val="aa"/>
              <w:spacing w:line="360" w:lineRule="auto"/>
              <w:ind w:firstLineChars="0" w:firstLine="0"/>
              <w:jc w:val="left"/>
              <w:rPr>
                <w:rFonts w:ascii="宋体" w:eastAsia="宋体" w:hAnsi="宋体" w:cstheme="minorBidi"/>
                <w:sz w:val="24"/>
                <w:szCs w:val="24"/>
              </w:rPr>
            </w:pPr>
            <w:r>
              <w:rPr>
                <w:rFonts w:ascii="宋体" w:eastAsia="宋体" w:hAnsi="宋体" w:cstheme="minorBidi" w:hint="eastAsia"/>
                <w:sz w:val="24"/>
                <w:szCs w:val="24"/>
              </w:rPr>
              <w:t>2021</w:t>
            </w:r>
            <w:r>
              <w:rPr>
                <w:rFonts w:ascii="宋体" w:eastAsia="宋体" w:hAnsi="宋体" w:cstheme="minorBidi" w:hint="eastAsia"/>
                <w:sz w:val="24"/>
                <w:szCs w:val="24"/>
              </w:rPr>
              <w:t>年</w:t>
            </w:r>
            <w:r>
              <w:rPr>
                <w:rFonts w:ascii="宋体" w:eastAsia="宋体" w:hAnsi="宋体" w:cstheme="minorBidi" w:hint="eastAsia"/>
                <w:sz w:val="24"/>
                <w:szCs w:val="24"/>
              </w:rPr>
              <w:t>6</w:t>
            </w:r>
            <w:r>
              <w:rPr>
                <w:rFonts w:ascii="宋体" w:eastAsia="宋体" w:hAnsi="宋体" w:cstheme="minorBidi" w:hint="eastAsia"/>
                <w:sz w:val="24"/>
                <w:szCs w:val="24"/>
              </w:rPr>
              <w:t>月</w:t>
            </w:r>
            <w:r>
              <w:rPr>
                <w:rFonts w:ascii="宋体" w:eastAsia="宋体" w:hAnsi="宋体" w:cstheme="minorBidi" w:hint="eastAsia"/>
                <w:sz w:val="24"/>
                <w:szCs w:val="24"/>
              </w:rPr>
              <w:t>7</w:t>
            </w:r>
            <w:r>
              <w:rPr>
                <w:rFonts w:ascii="宋体" w:eastAsia="宋体" w:hAnsi="宋体" w:cstheme="minorBidi" w:hint="eastAsia"/>
                <w:sz w:val="24"/>
                <w:szCs w:val="24"/>
              </w:rPr>
              <w:t>日</w:t>
            </w:r>
          </w:p>
        </w:tc>
      </w:tr>
      <w:tr w:rsidR="002E10A4">
        <w:trPr>
          <w:jc w:val="center"/>
        </w:trPr>
        <w:tc>
          <w:tcPr>
            <w:tcW w:w="2830" w:type="dxa"/>
            <w:vAlign w:val="center"/>
          </w:tcPr>
          <w:p w:rsidR="002E10A4" w:rsidRDefault="00E90FD7">
            <w:pPr>
              <w:pStyle w:val="aa"/>
              <w:spacing w:line="360" w:lineRule="auto"/>
              <w:ind w:firstLineChars="0" w:firstLine="0"/>
              <w:jc w:val="left"/>
              <w:rPr>
                <w:rFonts w:ascii="宋体" w:eastAsia="宋体" w:hAnsi="宋体" w:cstheme="minorBidi"/>
                <w:sz w:val="24"/>
                <w:szCs w:val="24"/>
              </w:rPr>
            </w:pPr>
            <w:r>
              <w:rPr>
                <w:rFonts w:ascii="宋体" w:eastAsia="宋体" w:hAnsi="宋体" w:cstheme="minorBidi" w:hint="eastAsia"/>
                <w:sz w:val="24"/>
                <w:szCs w:val="24"/>
              </w:rPr>
              <w:t>基金管理人名称</w:t>
            </w:r>
          </w:p>
        </w:tc>
        <w:tc>
          <w:tcPr>
            <w:tcW w:w="4966" w:type="dxa"/>
            <w:vAlign w:val="center"/>
          </w:tcPr>
          <w:p w:rsidR="002E10A4" w:rsidRDefault="00E90FD7">
            <w:pPr>
              <w:pStyle w:val="aa"/>
              <w:spacing w:line="360" w:lineRule="auto"/>
              <w:ind w:firstLineChars="0" w:firstLine="0"/>
              <w:jc w:val="left"/>
              <w:rPr>
                <w:rFonts w:ascii="宋体" w:eastAsia="宋体" w:hAnsi="宋体" w:cstheme="minorBidi"/>
                <w:sz w:val="24"/>
                <w:szCs w:val="24"/>
              </w:rPr>
            </w:pPr>
            <w:r>
              <w:rPr>
                <w:rFonts w:ascii="宋体" w:eastAsia="宋体" w:hAnsi="宋体" w:cstheme="minorBidi" w:hint="eastAsia"/>
                <w:sz w:val="24"/>
                <w:szCs w:val="24"/>
              </w:rPr>
              <w:t>富国基金管理有限公司</w:t>
            </w:r>
          </w:p>
        </w:tc>
      </w:tr>
      <w:tr w:rsidR="002E10A4">
        <w:trPr>
          <w:trHeight w:val="418"/>
          <w:jc w:val="center"/>
        </w:trPr>
        <w:tc>
          <w:tcPr>
            <w:tcW w:w="2830" w:type="dxa"/>
            <w:vAlign w:val="center"/>
          </w:tcPr>
          <w:p w:rsidR="002E10A4" w:rsidRDefault="00E90FD7">
            <w:pPr>
              <w:pStyle w:val="aa"/>
              <w:spacing w:line="360" w:lineRule="auto"/>
              <w:ind w:firstLineChars="0" w:firstLine="0"/>
              <w:jc w:val="left"/>
              <w:rPr>
                <w:rFonts w:ascii="宋体" w:eastAsia="宋体" w:hAnsi="宋体" w:cstheme="minorBidi"/>
                <w:sz w:val="24"/>
                <w:szCs w:val="24"/>
              </w:rPr>
            </w:pPr>
            <w:r>
              <w:rPr>
                <w:rFonts w:ascii="宋体" w:eastAsia="宋体" w:hAnsi="宋体" w:cstheme="minorBidi" w:hint="eastAsia"/>
                <w:sz w:val="24"/>
                <w:szCs w:val="24"/>
              </w:rPr>
              <w:t>基金托管人名称</w:t>
            </w:r>
          </w:p>
        </w:tc>
        <w:tc>
          <w:tcPr>
            <w:tcW w:w="4966" w:type="dxa"/>
            <w:vAlign w:val="center"/>
          </w:tcPr>
          <w:p w:rsidR="002E10A4" w:rsidRDefault="00E90FD7">
            <w:pPr>
              <w:pStyle w:val="aa"/>
              <w:spacing w:line="360" w:lineRule="auto"/>
              <w:ind w:firstLineChars="0" w:firstLine="0"/>
              <w:jc w:val="left"/>
              <w:rPr>
                <w:rFonts w:ascii="宋体" w:eastAsia="宋体" w:hAnsi="宋体" w:cstheme="minorBidi"/>
                <w:sz w:val="24"/>
                <w:szCs w:val="24"/>
              </w:rPr>
            </w:pPr>
            <w:r>
              <w:rPr>
                <w:rFonts w:ascii="宋体" w:eastAsia="宋体" w:hAnsi="宋体" w:cstheme="minorBidi" w:hint="eastAsia"/>
                <w:sz w:val="24"/>
                <w:szCs w:val="24"/>
              </w:rPr>
              <w:t>招商银行股份有限公司</w:t>
            </w:r>
          </w:p>
        </w:tc>
      </w:tr>
      <w:tr w:rsidR="002E10A4">
        <w:trPr>
          <w:trHeight w:val="300"/>
          <w:jc w:val="center"/>
        </w:trPr>
        <w:tc>
          <w:tcPr>
            <w:tcW w:w="2830" w:type="dxa"/>
            <w:vAlign w:val="center"/>
          </w:tcPr>
          <w:p w:rsidR="002E10A4" w:rsidRDefault="00E90FD7">
            <w:pPr>
              <w:pStyle w:val="aa"/>
              <w:spacing w:line="360" w:lineRule="auto"/>
              <w:ind w:firstLineChars="0" w:firstLine="0"/>
              <w:jc w:val="left"/>
              <w:rPr>
                <w:rFonts w:ascii="宋体" w:eastAsia="宋体" w:hAnsi="宋体" w:cstheme="minorBidi"/>
                <w:sz w:val="24"/>
                <w:szCs w:val="24"/>
              </w:rPr>
            </w:pPr>
            <w:r>
              <w:rPr>
                <w:rFonts w:ascii="宋体" w:eastAsia="宋体" w:hAnsi="宋体" w:cstheme="minorBidi" w:hint="eastAsia"/>
                <w:sz w:val="24"/>
                <w:szCs w:val="24"/>
              </w:rPr>
              <w:t>公告依据</w:t>
            </w:r>
          </w:p>
        </w:tc>
        <w:tc>
          <w:tcPr>
            <w:tcW w:w="4966" w:type="dxa"/>
            <w:vAlign w:val="center"/>
          </w:tcPr>
          <w:p w:rsidR="002E10A4" w:rsidRDefault="00E90FD7">
            <w:pPr>
              <w:pStyle w:val="aa"/>
              <w:spacing w:line="360" w:lineRule="auto"/>
              <w:ind w:firstLineChars="0" w:firstLine="0"/>
              <w:jc w:val="left"/>
              <w:rPr>
                <w:rFonts w:ascii="宋体" w:eastAsia="宋体" w:hAnsi="宋体" w:cstheme="minorBidi"/>
                <w:sz w:val="24"/>
                <w:szCs w:val="24"/>
              </w:rPr>
            </w:pPr>
            <w:r>
              <w:rPr>
                <w:rFonts w:ascii="宋体" w:eastAsia="宋体" w:hAnsi="宋体" w:cstheme="minorBidi" w:hint="eastAsia"/>
                <w:sz w:val="24"/>
                <w:szCs w:val="24"/>
              </w:rPr>
              <w:t>《中华人民共和国证券投资基金法》及配套法规、《公开募集基础设施证券投资基金指引（试行）》、《上海证券交易所公开募集基础设施证券投资基金（</w:t>
            </w:r>
            <w:r>
              <w:rPr>
                <w:rFonts w:ascii="宋体" w:eastAsia="宋体" w:hAnsi="宋体" w:cstheme="minorBidi" w:hint="eastAsia"/>
                <w:sz w:val="24"/>
                <w:szCs w:val="24"/>
              </w:rPr>
              <w:t>REITs</w:t>
            </w:r>
            <w:r>
              <w:rPr>
                <w:rFonts w:ascii="宋体" w:eastAsia="宋体" w:hAnsi="宋体" w:cstheme="minorBidi" w:hint="eastAsia"/>
                <w:sz w:val="24"/>
                <w:szCs w:val="24"/>
              </w:rPr>
              <w:t>）业务办法（试行）》、《上海证券交易所公开募集基础设施证券投资基金（</w:t>
            </w:r>
            <w:r>
              <w:rPr>
                <w:rFonts w:ascii="宋体" w:eastAsia="宋体" w:hAnsi="宋体" w:cstheme="minorBidi" w:hint="eastAsia"/>
                <w:sz w:val="24"/>
                <w:szCs w:val="24"/>
              </w:rPr>
              <w:t>REITs</w:t>
            </w:r>
            <w:r>
              <w:rPr>
                <w:rFonts w:ascii="宋体" w:eastAsia="宋体" w:hAnsi="宋体" w:cstheme="minorBidi" w:hint="eastAsia"/>
                <w:sz w:val="24"/>
                <w:szCs w:val="24"/>
              </w:rPr>
              <w:t>）规则适用指引第</w:t>
            </w:r>
            <w:r>
              <w:rPr>
                <w:rFonts w:ascii="宋体" w:eastAsia="宋体" w:hAnsi="宋体" w:cstheme="minorBidi" w:hint="eastAsia"/>
                <w:sz w:val="24"/>
                <w:szCs w:val="24"/>
              </w:rPr>
              <w:t>5</w:t>
            </w:r>
            <w:r>
              <w:rPr>
                <w:rFonts w:ascii="宋体" w:eastAsia="宋体" w:hAnsi="宋体" w:cstheme="minorBidi" w:hint="eastAsia"/>
                <w:sz w:val="24"/>
                <w:szCs w:val="24"/>
              </w:rPr>
              <w:t>号——临时报告（试行）》以及《富国首创水务封闭式基础设施证券投资基金基金合同》、《富国首创水务封闭式基础设施证券投资基金招募说明书》及其更新（以下简称“《招募说明书》”）等</w:t>
            </w:r>
          </w:p>
        </w:tc>
      </w:tr>
    </w:tbl>
    <w:p w:rsidR="002E10A4" w:rsidRDefault="002E10A4">
      <w:pPr>
        <w:pStyle w:val="2"/>
        <w:ind w:left="420" w:hanging="420"/>
        <w:rPr>
          <w:rStyle w:val="a9"/>
          <w:b/>
          <w:bCs w:val="0"/>
          <w:szCs w:val="21"/>
        </w:rPr>
      </w:pPr>
    </w:p>
    <w:p w:rsidR="002E10A4" w:rsidRDefault="00E90FD7">
      <w:pPr>
        <w:pStyle w:val="2"/>
        <w:ind w:left="420" w:hanging="420"/>
        <w:rPr>
          <w:rStyle w:val="a9"/>
          <w:rFonts w:ascii="Calibri" w:eastAsia="仿宋_GB2312" w:hAnsi="Calibri"/>
          <w:b/>
          <w:bCs w:val="0"/>
          <w:sz w:val="30"/>
          <w:szCs w:val="21"/>
        </w:rPr>
      </w:pPr>
      <w:r>
        <w:rPr>
          <w:rStyle w:val="a9"/>
          <w:rFonts w:hint="eastAsia"/>
          <w:b/>
          <w:bCs w:val="0"/>
          <w:szCs w:val="21"/>
        </w:rPr>
        <w:t>二、基础设施项目基本情况</w:t>
      </w:r>
    </w:p>
    <w:p w:rsidR="002E10A4" w:rsidRDefault="00E90FD7">
      <w:pPr>
        <w:spacing w:line="360" w:lineRule="auto"/>
        <w:ind w:firstLine="480"/>
        <w:rPr>
          <w:rFonts w:ascii="宋体" w:eastAsia="宋体" w:hAnsi="宋体" w:cs="宋体"/>
          <w:sz w:val="24"/>
          <w:szCs w:val="24"/>
        </w:rPr>
      </w:pPr>
      <w:r>
        <w:rPr>
          <w:rFonts w:ascii="宋体" w:eastAsia="宋体" w:hAnsi="宋体" w:cs="宋体" w:hint="eastAsia"/>
          <w:sz w:val="24"/>
          <w:szCs w:val="24"/>
        </w:rPr>
        <w:t>富国首创水务封闭式基础设施证券投资基金（以下简称“本基金”）下辖两个基础设施项目，分别为合肥市十五里河污水处理厂</w:t>
      </w:r>
      <w:r>
        <w:rPr>
          <w:rFonts w:ascii="宋体" w:eastAsia="宋体" w:hAnsi="宋体" w:cs="宋体" w:hint="eastAsia"/>
          <w:sz w:val="24"/>
          <w:szCs w:val="24"/>
        </w:rPr>
        <w:t>PPP</w:t>
      </w:r>
      <w:r>
        <w:rPr>
          <w:rFonts w:ascii="宋体" w:eastAsia="宋体" w:hAnsi="宋体" w:cs="宋体" w:hint="eastAsia"/>
          <w:sz w:val="24"/>
          <w:szCs w:val="24"/>
        </w:rPr>
        <w:t>项目和深圳市福永、松岗、公明水质净化厂，均为污水处理类市政基础设施项目。本基金委托北京首创生态环保集团股份有限公司（以下简称“首创环保集团”）作为运营管理机构对</w:t>
      </w:r>
      <w:r>
        <w:rPr>
          <w:rFonts w:ascii="宋体" w:eastAsia="宋体" w:hAnsi="宋体" w:cs="宋体" w:hint="eastAsia"/>
          <w:sz w:val="24"/>
          <w:szCs w:val="24"/>
        </w:rPr>
        <w:lastRenderedPageBreak/>
        <w:t>项目进行运营管理。</w:t>
      </w:r>
    </w:p>
    <w:p w:rsidR="002E10A4" w:rsidRDefault="002E10A4">
      <w:pPr>
        <w:spacing w:line="360" w:lineRule="auto"/>
        <w:ind w:firstLine="480"/>
        <w:rPr>
          <w:rFonts w:ascii="宋体" w:eastAsia="宋体" w:hAnsi="宋体" w:cs="宋体"/>
          <w:sz w:val="24"/>
          <w:szCs w:val="24"/>
        </w:rPr>
      </w:pPr>
    </w:p>
    <w:p w:rsidR="002E10A4" w:rsidRDefault="00E90FD7">
      <w:pPr>
        <w:pStyle w:val="2"/>
        <w:ind w:left="420" w:hanging="420"/>
        <w:rPr>
          <w:rStyle w:val="a9"/>
          <w:b/>
          <w:bCs w:val="0"/>
          <w:szCs w:val="21"/>
        </w:rPr>
      </w:pPr>
      <w:r>
        <w:rPr>
          <w:rStyle w:val="a9"/>
          <w:rFonts w:hint="eastAsia"/>
          <w:b/>
          <w:bCs w:val="0"/>
          <w:szCs w:val="21"/>
        </w:rPr>
        <w:t>三</w:t>
      </w:r>
      <w:r>
        <w:rPr>
          <w:rStyle w:val="a9"/>
          <w:b/>
          <w:bCs w:val="0"/>
          <w:szCs w:val="21"/>
        </w:rPr>
        <w:t>、事项</w:t>
      </w:r>
      <w:r>
        <w:rPr>
          <w:rStyle w:val="a9"/>
          <w:rFonts w:hint="eastAsia"/>
          <w:b/>
          <w:bCs w:val="0"/>
          <w:szCs w:val="21"/>
        </w:rPr>
        <w:t>基本情况</w:t>
      </w:r>
    </w:p>
    <w:p w:rsidR="002E10A4" w:rsidRDefault="00E90FD7">
      <w:pPr>
        <w:pStyle w:val="a7"/>
        <w:snapToGrid w:val="0"/>
        <w:spacing w:before="0" w:beforeAutospacing="0" w:after="0" w:afterAutospacing="0" w:line="360" w:lineRule="auto"/>
        <w:ind w:firstLine="480"/>
        <w:jc w:val="both"/>
        <w:rPr>
          <w:szCs w:val="30"/>
        </w:rPr>
      </w:pPr>
      <w:r>
        <w:rPr>
          <w:rFonts w:asciiTheme="minorEastAsia" w:eastAsiaTheme="minorEastAsia" w:hAnsiTheme="minorEastAsia" w:cs="Times New Roman" w:hint="eastAsia"/>
        </w:rPr>
        <w:t>2</w:t>
      </w:r>
      <w:r>
        <w:rPr>
          <w:rFonts w:asciiTheme="minorEastAsia" w:eastAsiaTheme="minorEastAsia" w:hAnsiTheme="minorEastAsia" w:cs="Times New Roman"/>
        </w:rPr>
        <w:t>02</w:t>
      </w:r>
      <w:r>
        <w:rPr>
          <w:rFonts w:asciiTheme="minorEastAsia" w:eastAsiaTheme="minorEastAsia" w:hAnsiTheme="minorEastAsia" w:cs="Times New Roman" w:hint="eastAsia"/>
        </w:rPr>
        <w:t>5</w:t>
      </w:r>
      <w:r>
        <w:rPr>
          <w:rFonts w:asciiTheme="minorEastAsia" w:eastAsiaTheme="minorEastAsia" w:hAnsiTheme="minorEastAsia" w:cs="Times New Roman"/>
        </w:rPr>
        <w:t>年</w:t>
      </w:r>
      <w:r>
        <w:rPr>
          <w:rFonts w:asciiTheme="minorEastAsia" w:eastAsiaTheme="minorEastAsia" w:hAnsiTheme="minorEastAsia" w:cs="Times New Roman" w:hint="eastAsia"/>
        </w:rPr>
        <w:t>12</w:t>
      </w:r>
      <w:r>
        <w:rPr>
          <w:rFonts w:asciiTheme="minorEastAsia" w:eastAsiaTheme="minorEastAsia" w:hAnsiTheme="minorEastAsia" w:cs="Times New Roman"/>
        </w:rPr>
        <w:t>月</w:t>
      </w:r>
      <w:r>
        <w:rPr>
          <w:rFonts w:asciiTheme="minorEastAsia" w:eastAsiaTheme="minorEastAsia" w:hAnsiTheme="minorEastAsia" w:cs="Times New Roman" w:hint="eastAsia"/>
        </w:rPr>
        <w:t>25</w:t>
      </w:r>
      <w:r>
        <w:rPr>
          <w:rFonts w:asciiTheme="minorEastAsia" w:eastAsiaTheme="minorEastAsia" w:hAnsiTheme="minorEastAsia" w:cs="Times New Roman"/>
        </w:rPr>
        <w:t>日</w:t>
      </w:r>
      <w:r>
        <w:rPr>
          <w:rFonts w:asciiTheme="minorEastAsia" w:eastAsiaTheme="minorEastAsia" w:hAnsiTheme="minorEastAsia" w:cs="Times New Roman" w:hint="eastAsia"/>
        </w:rPr>
        <w:t>，运营管理机构首创环保集团发布关于公司</w:t>
      </w:r>
      <w:r>
        <w:rPr>
          <w:rFonts w:asciiTheme="minorEastAsia" w:eastAsiaTheme="minorEastAsia" w:hAnsiTheme="minorEastAsia" w:cs="Times New Roman" w:hint="eastAsia"/>
        </w:rPr>
        <w:t>董事长、副董事长、董事、总经理及法定代表人变动的</w:t>
      </w:r>
      <w:r>
        <w:rPr>
          <w:rFonts w:asciiTheme="minorEastAsia" w:eastAsiaTheme="minorEastAsia" w:hAnsiTheme="minorEastAsia" w:cs="Times New Roman" w:hint="eastAsia"/>
        </w:rPr>
        <w:t>公告。</w:t>
      </w:r>
      <w:r>
        <w:rPr>
          <w:rFonts w:hint="eastAsia"/>
          <w:szCs w:val="30"/>
        </w:rPr>
        <w:t>李伏京先生接替</w:t>
      </w:r>
      <w:r>
        <w:rPr>
          <w:rFonts w:hint="eastAsia"/>
          <w:szCs w:val="30"/>
        </w:rPr>
        <w:t>刘永政先生担任</w:t>
      </w:r>
      <w:r>
        <w:rPr>
          <w:rFonts w:asciiTheme="minorEastAsia" w:eastAsiaTheme="minorEastAsia" w:hAnsiTheme="minorEastAsia" w:cs="Times New Roman" w:hint="eastAsia"/>
        </w:rPr>
        <w:t>首创环保集团</w:t>
      </w:r>
      <w:r>
        <w:rPr>
          <w:rFonts w:asciiTheme="minorEastAsia" w:eastAsiaTheme="minorEastAsia" w:hAnsiTheme="minorEastAsia" w:cs="Times New Roman" w:hint="eastAsia"/>
        </w:rPr>
        <w:t>董事长、法定代表人，</w:t>
      </w:r>
      <w:r>
        <w:rPr>
          <w:rFonts w:hint="eastAsia"/>
          <w:szCs w:val="30"/>
        </w:rPr>
        <w:t>李伏京先生离任总经理</w:t>
      </w:r>
      <w:r>
        <w:rPr>
          <w:rFonts w:hint="eastAsia"/>
          <w:szCs w:val="30"/>
        </w:rPr>
        <w:t>并</w:t>
      </w:r>
      <w:r>
        <w:rPr>
          <w:rFonts w:hint="eastAsia"/>
          <w:szCs w:val="30"/>
        </w:rPr>
        <w:t>仍由</w:t>
      </w:r>
      <w:r>
        <w:rPr>
          <w:rFonts w:hint="eastAsia"/>
          <w:szCs w:val="30"/>
        </w:rPr>
        <w:t>其</w:t>
      </w:r>
      <w:r>
        <w:rPr>
          <w:rFonts w:hint="eastAsia"/>
          <w:szCs w:val="30"/>
        </w:rPr>
        <w:t>代行总经理职责。李伏京先生简历</w:t>
      </w:r>
      <w:r>
        <w:rPr>
          <w:rFonts w:hint="eastAsia"/>
          <w:szCs w:val="30"/>
        </w:rPr>
        <w:t>如下：</w:t>
      </w:r>
    </w:p>
    <w:p w:rsidR="002E10A4" w:rsidRDefault="00E90FD7">
      <w:pPr>
        <w:pStyle w:val="a7"/>
        <w:snapToGrid w:val="0"/>
        <w:spacing w:before="0" w:beforeAutospacing="0" w:after="0" w:afterAutospacing="0" w:line="360" w:lineRule="auto"/>
        <w:ind w:firstLine="480"/>
        <w:jc w:val="both"/>
        <w:rPr>
          <w:szCs w:val="30"/>
        </w:rPr>
      </w:pPr>
      <w:r>
        <w:rPr>
          <w:rFonts w:hint="eastAsia"/>
          <w:szCs w:val="30"/>
        </w:rPr>
        <w:t>李伏京</w:t>
      </w:r>
      <w:r>
        <w:rPr>
          <w:rFonts w:hint="eastAsia"/>
          <w:szCs w:val="30"/>
        </w:rPr>
        <w:t>，</w:t>
      </w:r>
      <w:r>
        <w:rPr>
          <w:rFonts w:hint="eastAsia"/>
          <w:szCs w:val="30"/>
        </w:rPr>
        <w:t>男，</w:t>
      </w:r>
      <w:r>
        <w:rPr>
          <w:rFonts w:hint="eastAsia"/>
          <w:szCs w:val="30"/>
        </w:rPr>
        <w:t>1980</w:t>
      </w:r>
      <w:r>
        <w:rPr>
          <w:rFonts w:hint="eastAsia"/>
          <w:szCs w:val="30"/>
        </w:rPr>
        <w:t>年</w:t>
      </w:r>
      <w:r>
        <w:rPr>
          <w:rFonts w:hint="eastAsia"/>
          <w:szCs w:val="30"/>
        </w:rPr>
        <w:t>7</w:t>
      </w:r>
      <w:r>
        <w:rPr>
          <w:rFonts w:hint="eastAsia"/>
          <w:szCs w:val="30"/>
        </w:rPr>
        <w:t>月出生，硕士，正高级经济师及工程师。历任柏诚工程技术（北京）有限公司工程师，北京市工程咨询有限公司基础设施咨询部项目经理，北京首都创业集团有限公司基础设施部总经理助理、环境产业部副总经理，首创环境控股有限公司董事会主席、执行董事及行政总裁，北京首创大气环境科技股份有限公司董事、董事长，</w:t>
      </w:r>
      <w:r>
        <w:rPr>
          <w:rFonts w:hint="eastAsia"/>
          <w:szCs w:val="30"/>
        </w:rPr>
        <w:t>北京首创生态环保集团股份有限公司董事、</w:t>
      </w:r>
      <w:r>
        <w:rPr>
          <w:rFonts w:hint="eastAsia"/>
          <w:szCs w:val="30"/>
        </w:rPr>
        <w:t>总经理。现任北京首都创业集团有限公司副总经理、本公司董事。</w:t>
      </w:r>
    </w:p>
    <w:p w:rsidR="002E10A4" w:rsidRDefault="00E90FD7">
      <w:pPr>
        <w:pStyle w:val="a7"/>
        <w:snapToGrid w:val="0"/>
        <w:spacing w:before="0" w:beforeAutospacing="0" w:after="0" w:afterAutospacing="0" w:line="360" w:lineRule="auto"/>
        <w:ind w:firstLine="480"/>
        <w:jc w:val="both"/>
        <w:rPr>
          <w:rFonts w:asciiTheme="minorEastAsia" w:eastAsiaTheme="minorEastAsia" w:hAnsiTheme="minorEastAsia" w:cs="Times New Roman"/>
        </w:rPr>
      </w:pPr>
      <w:r>
        <w:rPr>
          <w:rFonts w:asciiTheme="minorEastAsia" w:hAnsiTheme="minorEastAsia" w:hint="eastAsia"/>
          <w:bCs/>
        </w:rPr>
        <w:t>上述事项系</w:t>
      </w:r>
      <w:r>
        <w:rPr>
          <w:rFonts w:asciiTheme="minorEastAsia" w:hAnsiTheme="minorEastAsia" w:hint="eastAsia"/>
          <w:bCs/>
        </w:rPr>
        <w:t>根据</w:t>
      </w:r>
      <w:r>
        <w:rPr>
          <w:rFonts w:hint="eastAsia"/>
        </w:rPr>
        <w:t>首创环保集团</w:t>
      </w:r>
      <w:r>
        <w:rPr>
          <w:rFonts w:asciiTheme="minorEastAsia" w:hAnsiTheme="minorEastAsia" w:hint="eastAsia"/>
          <w:bCs/>
        </w:rPr>
        <w:t>经营管理需要，对</w:t>
      </w:r>
      <w:r>
        <w:rPr>
          <w:rFonts w:asciiTheme="minorEastAsia" w:hAnsiTheme="minorEastAsia" w:hint="eastAsia"/>
          <w:bCs/>
        </w:rPr>
        <w:t>公司董事长、法定代表人及</w:t>
      </w:r>
      <w:r>
        <w:rPr>
          <w:rFonts w:asciiTheme="minorEastAsia" w:hAnsiTheme="minorEastAsia" w:hint="eastAsia"/>
          <w:bCs/>
        </w:rPr>
        <w:t>高级管理人员进行调整并已对相关工作做出妥善安排，</w:t>
      </w:r>
      <w:r>
        <w:rPr>
          <w:rFonts w:hint="eastAsia"/>
        </w:rPr>
        <w:t>不会影响公司董事会的正常运作，也不会影响公司经营管理工作的正常进行</w:t>
      </w:r>
      <w:r>
        <w:rPr>
          <w:rFonts w:asciiTheme="minorEastAsia" w:hAnsiTheme="minorEastAsia" w:hint="eastAsia"/>
          <w:bCs/>
        </w:rPr>
        <w:t>。</w:t>
      </w:r>
    </w:p>
    <w:p w:rsidR="002E10A4" w:rsidRDefault="002E10A4">
      <w:pPr>
        <w:pStyle w:val="a7"/>
        <w:snapToGrid w:val="0"/>
        <w:spacing w:before="0" w:beforeAutospacing="0" w:after="0" w:afterAutospacing="0" w:line="360" w:lineRule="auto"/>
        <w:ind w:firstLine="480"/>
        <w:rPr>
          <w:rFonts w:asciiTheme="minorEastAsia" w:eastAsiaTheme="minorEastAsia" w:hAnsiTheme="minorEastAsia" w:cs="Times New Roman"/>
        </w:rPr>
      </w:pPr>
    </w:p>
    <w:p w:rsidR="002E10A4" w:rsidRDefault="00E90FD7">
      <w:pPr>
        <w:pStyle w:val="a7"/>
        <w:snapToGrid w:val="0"/>
        <w:spacing w:before="0" w:beforeAutospacing="0" w:after="0" w:afterAutospacing="0" w:line="360" w:lineRule="auto"/>
        <w:ind w:firstLineChars="0" w:firstLine="0"/>
        <w:rPr>
          <w:rFonts w:asciiTheme="minorEastAsia" w:hAnsiTheme="minorEastAsia"/>
          <w:b/>
        </w:rPr>
      </w:pPr>
      <w:r>
        <w:rPr>
          <w:rFonts w:asciiTheme="minorEastAsia" w:hAnsiTheme="minorEastAsia" w:hint="eastAsia"/>
          <w:b/>
        </w:rPr>
        <w:t>四、对基础设施项目运营情况、经营业绩、现金流和基金份额持有人权益的影响分析</w:t>
      </w:r>
    </w:p>
    <w:p w:rsidR="002E10A4" w:rsidRDefault="00E90FD7">
      <w:pPr>
        <w:snapToGrid w:val="0"/>
        <w:spacing w:line="360" w:lineRule="auto"/>
        <w:ind w:firstLine="480"/>
        <w:rPr>
          <w:rFonts w:ascii="宋体" w:eastAsia="宋体" w:hAnsi="宋体" w:cs="宋体"/>
          <w:sz w:val="24"/>
          <w:szCs w:val="24"/>
        </w:rPr>
      </w:pPr>
      <w:r>
        <w:rPr>
          <w:rFonts w:ascii="宋体" w:eastAsia="宋体" w:hAnsi="宋体" w:cs="宋体" w:hint="eastAsia"/>
          <w:sz w:val="24"/>
          <w:szCs w:val="24"/>
        </w:rPr>
        <w:t>截至本公告发布日，本基金运营管理机构经营管理团队履职正常，本次董事长、法定代表人及高级管理人员</w:t>
      </w:r>
      <w:r>
        <w:rPr>
          <w:rFonts w:ascii="宋体" w:eastAsia="宋体" w:hAnsi="宋体" w:cs="宋体" w:hint="eastAsia"/>
          <w:sz w:val="24"/>
          <w:szCs w:val="24"/>
        </w:rPr>
        <w:t>变动</w:t>
      </w:r>
      <w:r>
        <w:rPr>
          <w:rFonts w:ascii="宋体" w:eastAsia="宋体" w:hAnsi="宋体" w:cs="宋体" w:hint="eastAsia"/>
          <w:sz w:val="24"/>
          <w:szCs w:val="24"/>
        </w:rPr>
        <w:t>不影响机构稳定运营管理能力，对基础设施项目运营情况、经营业绩、现金流和基金份额持有人权益无重大不利影响。</w:t>
      </w:r>
    </w:p>
    <w:p w:rsidR="002E10A4" w:rsidRDefault="00E90FD7">
      <w:pPr>
        <w:snapToGrid w:val="0"/>
        <w:spacing w:line="360" w:lineRule="auto"/>
        <w:ind w:firstLine="480"/>
        <w:rPr>
          <w:rFonts w:ascii="宋体" w:eastAsia="宋体" w:hAnsi="宋体" w:cs="宋体"/>
          <w:sz w:val="24"/>
          <w:szCs w:val="24"/>
        </w:rPr>
      </w:pPr>
      <w:r>
        <w:rPr>
          <w:rFonts w:ascii="宋体" w:eastAsia="宋体" w:hAnsi="宋体" w:cs="宋体" w:hint="eastAsia"/>
          <w:sz w:val="24"/>
          <w:szCs w:val="24"/>
        </w:rPr>
        <w:t>本公告内容已经本基金运营管理机构确认。</w:t>
      </w:r>
    </w:p>
    <w:p w:rsidR="002E10A4" w:rsidRDefault="002E10A4">
      <w:pPr>
        <w:snapToGrid w:val="0"/>
        <w:spacing w:line="360" w:lineRule="auto"/>
        <w:ind w:firstLine="480"/>
        <w:rPr>
          <w:rFonts w:ascii="宋体" w:eastAsia="宋体" w:hAnsi="宋体" w:cs="宋体"/>
          <w:sz w:val="24"/>
          <w:szCs w:val="24"/>
        </w:rPr>
      </w:pPr>
    </w:p>
    <w:p w:rsidR="002E10A4" w:rsidRDefault="00E90FD7">
      <w:pPr>
        <w:pStyle w:val="2"/>
        <w:rPr>
          <w:rStyle w:val="a9"/>
          <w:bCs w:val="0"/>
          <w:szCs w:val="21"/>
        </w:rPr>
      </w:pPr>
      <w:r>
        <w:rPr>
          <w:rStyle w:val="a9"/>
          <w:rFonts w:hint="eastAsia"/>
          <w:b/>
          <w:bCs w:val="0"/>
          <w:szCs w:val="21"/>
        </w:rPr>
        <w:t>五、相关机构联系方式</w:t>
      </w:r>
    </w:p>
    <w:p w:rsidR="002E10A4" w:rsidRDefault="00E90FD7">
      <w:pPr>
        <w:pStyle w:val="a7"/>
        <w:snapToGrid w:val="0"/>
        <w:spacing w:before="0" w:beforeAutospacing="0" w:after="0" w:afterAutospacing="0" w:line="360" w:lineRule="auto"/>
        <w:ind w:rightChars="-19" w:right="-57" w:firstLine="480"/>
        <w:rPr>
          <w:color w:val="auto"/>
          <w:kern w:val="2"/>
        </w:rPr>
      </w:pPr>
      <w:r>
        <w:rPr>
          <w:rFonts w:hint="eastAsia"/>
          <w:color w:val="auto"/>
          <w:kern w:val="2"/>
        </w:rPr>
        <w:t>投资者可拨打富国基金管理有限公司客户服务电话（</w:t>
      </w:r>
      <w:r>
        <w:rPr>
          <w:rFonts w:hint="eastAsia"/>
          <w:color w:val="auto"/>
          <w:kern w:val="2"/>
        </w:rPr>
        <w:t>4008-880-688</w:t>
      </w:r>
      <w:r>
        <w:rPr>
          <w:rFonts w:hint="eastAsia"/>
          <w:color w:val="auto"/>
          <w:kern w:val="2"/>
        </w:rPr>
        <w:t>）或通过富国基金管理有限公司官网（</w:t>
      </w:r>
      <w:r>
        <w:rPr>
          <w:rFonts w:hint="eastAsia"/>
          <w:color w:val="auto"/>
          <w:kern w:val="2"/>
        </w:rPr>
        <w:t>http://www.fullgoal.com.cn/</w:t>
      </w:r>
      <w:r>
        <w:rPr>
          <w:rFonts w:hint="eastAsia"/>
          <w:color w:val="auto"/>
          <w:kern w:val="2"/>
        </w:rPr>
        <w:t>）咨询有关详情。</w:t>
      </w:r>
    </w:p>
    <w:p w:rsidR="002E10A4" w:rsidRDefault="002E10A4">
      <w:pPr>
        <w:pStyle w:val="a7"/>
        <w:snapToGrid w:val="0"/>
        <w:spacing w:before="0" w:beforeAutospacing="0" w:after="0" w:afterAutospacing="0" w:line="360" w:lineRule="auto"/>
        <w:ind w:firstLineChars="0" w:firstLine="0"/>
        <w:rPr>
          <w:rFonts w:asciiTheme="minorEastAsia" w:eastAsiaTheme="minorEastAsia" w:hAnsiTheme="minorEastAsia"/>
        </w:rPr>
      </w:pPr>
    </w:p>
    <w:p w:rsidR="002E10A4" w:rsidRDefault="00E90FD7">
      <w:pPr>
        <w:pStyle w:val="2"/>
        <w:rPr>
          <w:rStyle w:val="a9"/>
          <w:rFonts w:ascii="宋体" w:hAnsi="宋体" w:cs="宋体"/>
          <w:b/>
          <w:bCs w:val="0"/>
          <w:color w:val="000000"/>
          <w:kern w:val="0"/>
          <w:szCs w:val="21"/>
        </w:rPr>
      </w:pPr>
      <w:r>
        <w:rPr>
          <w:rStyle w:val="a9"/>
          <w:rFonts w:hint="eastAsia"/>
          <w:b/>
          <w:bCs w:val="0"/>
          <w:szCs w:val="21"/>
        </w:rPr>
        <w:t>六</w:t>
      </w:r>
      <w:r>
        <w:rPr>
          <w:rStyle w:val="a9"/>
          <w:b/>
          <w:bCs w:val="0"/>
          <w:szCs w:val="21"/>
        </w:rPr>
        <w:t>、风险提示</w:t>
      </w:r>
    </w:p>
    <w:p w:rsidR="002E10A4" w:rsidRDefault="00E90FD7">
      <w:pPr>
        <w:snapToGrid w:val="0"/>
        <w:spacing w:line="360" w:lineRule="auto"/>
        <w:ind w:firstLine="480"/>
        <w:rPr>
          <w:rFonts w:ascii="宋体" w:eastAsia="宋体" w:hAnsi="宋体" w:cs="宋体"/>
          <w:sz w:val="24"/>
          <w:szCs w:val="24"/>
        </w:rPr>
      </w:pPr>
      <w:r>
        <w:rPr>
          <w:rFonts w:ascii="宋体" w:eastAsia="宋体" w:hAnsi="宋体" w:cs="宋体" w:hint="eastAsia"/>
          <w:sz w:val="24"/>
          <w:szCs w:val="24"/>
        </w:rPr>
        <w:t>基金管理人承诺以诚实信用、勤勉尽责的原则管理和运用基金资产，但不保</w:t>
      </w:r>
      <w:r>
        <w:rPr>
          <w:rFonts w:ascii="宋体" w:eastAsia="宋体" w:hAnsi="宋体" w:cs="宋体" w:hint="eastAsia"/>
          <w:sz w:val="24"/>
          <w:szCs w:val="24"/>
        </w:rPr>
        <w:lastRenderedPageBreak/>
        <w:t>证基金一定盈利，也不保证最低收益。投资者投资于本基金时应认真阅读本基金的基金合同和最新的招募说明书。敬请投资者注意投资风险。</w:t>
      </w:r>
    </w:p>
    <w:p w:rsidR="002E10A4" w:rsidRDefault="002E10A4">
      <w:pPr>
        <w:snapToGrid w:val="0"/>
        <w:spacing w:line="360" w:lineRule="auto"/>
        <w:ind w:firstLine="480"/>
        <w:rPr>
          <w:rFonts w:ascii="宋体" w:eastAsia="宋体" w:hAnsi="宋体" w:cs="宋体"/>
          <w:sz w:val="24"/>
          <w:szCs w:val="24"/>
        </w:rPr>
      </w:pPr>
    </w:p>
    <w:p w:rsidR="002E10A4" w:rsidRDefault="00E90FD7">
      <w:pPr>
        <w:snapToGrid w:val="0"/>
        <w:spacing w:line="360" w:lineRule="auto"/>
        <w:ind w:firstLine="480"/>
        <w:rPr>
          <w:rFonts w:ascii="宋体" w:eastAsia="宋体" w:hAnsi="宋体" w:cs="宋体"/>
          <w:sz w:val="24"/>
          <w:szCs w:val="24"/>
        </w:rPr>
      </w:pPr>
      <w:r>
        <w:rPr>
          <w:rFonts w:ascii="宋体" w:eastAsia="宋体" w:hAnsi="宋体" w:cs="宋体" w:hint="eastAsia"/>
          <w:sz w:val="24"/>
          <w:szCs w:val="24"/>
        </w:rPr>
        <w:t>特此公告。</w:t>
      </w:r>
    </w:p>
    <w:p w:rsidR="002E10A4" w:rsidRDefault="002E10A4">
      <w:pPr>
        <w:pStyle w:val="a7"/>
        <w:snapToGrid w:val="0"/>
        <w:spacing w:before="0" w:beforeAutospacing="0" w:after="0" w:afterAutospacing="0" w:line="360" w:lineRule="auto"/>
        <w:ind w:firstLine="480"/>
        <w:jc w:val="both"/>
        <w:rPr>
          <w:rFonts w:asciiTheme="minorEastAsia" w:eastAsiaTheme="minorEastAsia" w:hAnsiTheme="minorEastAsia" w:cs="Times New Roman"/>
        </w:rPr>
      </w:pPr>
    </w:p>
    <w:p w:rsidR="002E10A4" w:rsidRDefault="00E90FD7">
      <w:pPr>
        <w:pStyle w:val="a7"/>
        <w:snapToGrid w:val="0"/>
        <w:spacing w:before="0" w:beforeAutospacing="0" w:after="0" w:afterAutospacing="0" w:line="360" w:lineRule="auto"/>
        <w:ind w:firstLine="480"/>
        <w:jc w:val="right"/>
        <w:rPr>
          <w:rFonts w:asciiTheme="minorEastAsia" w:eastAsiaTheme="minorEastAsia" w:hAnsiTheme="minorEastAsia" w:cs="Times New Roman"/>
        </w:rPr>
      </w:pPr>
      <w:r>
        <w:rPr>
          <w:rFonts w:asciiTheme="minorEastAsia" w:eastAsiaTheme="minorEastAsia" w:hAnsiTheme="minorEastAsia" w:cs="Times New Roman"/>
        </w:rPr>
        <w:t>富国基金管理有限公司</w:t>
      </w:r>
    </w:p>
    <w:p w:rsidR="002E10A4" w:rsidRDefault="00E90FD7">
      <w:pPr>
        <w:pStyle w:val="a7"/>
        <w:snapToGrid w:val="0"/>
        <w:spacing w:before="0" w:beforeAutospacing="0" w:after="0" w:afterAutospacing="0" w:line="360" w:lineRule="auto"/>
        <w:ind w:firstLine="480"/>
        <w:jc w:val="right"/>
      </w:pPr>
      <w:r>
        <w:rPr>
          <w:rFonts w:asciiTheme="minorEastAsia" w:eastAsiaTheme="minorEastAsia" w:hAnsiTheme="minorEastAsia" w:cs="Times New Roman"/>
        </w:rPr>
        <w:t>202</w:t>
      </w:r>
      <w:r>
        <w:rPr>
          <w:rFonts w:asciiTheme="minorEastAsia" w:eastAsiaTheme="minorEastAsia" w:hAnsiTheme="minorEastAsia" w:cs="Times New Roman" w:hint="eastAsia"/>
        </w:rPr>
        <w:t>5</w:t>
      </w:r>
      <w:r>
        <w:rPr>
          <w:rFonts w:asciiTheme="minorEastAsia" w:eastAsiaTheme="minorEastAsia" w:hAnsiTheme="minorEastAsia" w:cs="Times New Roman"/>
        </w:rPr>
        <w:t>年</w:t>
      </w:r>
      <w:r>
        <w:rPr>
          <w:rFonts w:asciiTheme="minorEastAsia" w:eastAsiaTheme="minorEastAsia" w:hAnsiTheme="minorEastAsia" w:cs="Times New Roman" w:hint="eastAsia"/>
        </w:rPr>
        <w:t>12</w:t>
      </w:r>
      <w:r>
        <w:rPr>
          <w:rFonts w:asciiTheme="minorEastAsia" w:eastAsiaTheme="minorEastAsia" w:hAnsiTheme="minorEastAsia" w:cs="Times New Roman"/>
        </w:rPr>
        <w:t>月</w:t>
      </w:r>
      <w:r>
        <w:rPr>
          <w:rFonts w:asciiTheme="minorEastAsia" w:eastAsiaTheme="minorEastAsia" w:hAnsiTheme="minorEastAsia" w:cs="Times New Roman" w:hint="eastAsia"/>
        </w:rPr>
        <w:t>26</w:t>
      </w:r>
      <w:r>
        <w:rPr>
          <w:rFonts w:asciiTheme="minorEastAsia" w:eastAsiaTheme="minorEastAsia" w:hAnsiTheme="minorEastAsia" w:cs="Times New Roman"/>
        </w:rPr>
        <w:t>日</w:t>
      </w:r>
    </w:p>
    <w:sectPr w:rsidR="002E10A4" w:rsidSect="002E10A4">
      <w:headerReference w:type="even" r:id="rId6"/>
      <w:footerReference w:type="even" r:id="rId7"/>
      <w:headerReference w:type="first" r:id="rId8"/>
      <w:footerReference w:type="firs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0A4" w:rsidRDefault="00E90FD7">
      <w:pPr>
        <w:spacing w:line="240" w:lineRule="auto"/>
        <w:ind w:firstLine="600"/>
      </w:pPr>
      <w:r>
        <w:separator/>
      </w:r>
    </w:p>
  </w:endnote>
  <w:endnote w:type="continuationSeparator" w:id="0">
    <w:p w:rsidR="002E10A4" w:rsidRDefault="00E90FD7">
      <w:pPr>
        <w:spacing w:line="240" w:lineRule="auto"/>
        <w:ind w:firstLine="60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0A4" w:rsidRDefault="002E10A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0A4" w:rsidRDefault="002E10A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0A4" w:rsidRDefault="00E90FD7">
      <w:pPr>
        <w:spacing w:line="240" w:lineRule="auto"/>
        <w:ind w:firstLine="600"/>
      </w:pPr>
      <w:r>
        <w:separator/>
      </w:r>
    </w:p>
  </w:footnote>
  <w:footnote w:type="continuationSeparator" w:id="0">
    <w:p w:rsidR="002E10A4" w:rsidRDefault="00E90FD7">
      <w:pPr>
        <w:spacing w:line="240" w:lineRule="auto"/>
        <w:ind w:firstLine="60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0A4" w:rsidRDefault="002E10A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0A4" w:rsidRDefault="002E10A4">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Q5YzA4ZTg0N2YxZmQyNTMwOTgzNWZkOTllZTk3MTAifQ=="/>
  </w:docVars>
  <w:rsids>
    <w:rsidRoot w:val="00CB7D27"/>
    <w:rsid w:val="ABEDA37E"/>
    <w:rsid w:val="FFBF7892"/>
    <w:rsid w:val="00063A35"/>
    <w:rsid w:val="000853F8"/>
    <w:rsid w:val="000A1938"/>
    <w:rsid w:val="000B45A7"/>
    <w:rsid w:val="000D4430"/>
    <w:rsid w:val="000D7C7D"/>
    <w:rsid w:val="0016675F"/>
    <w:rsid w:val="00177B07"/>
    <w:rsid w:val="001C754C"/>
    <w:rsid w:val="001F0A24"/>
    <w:rsid w:val="001F36FF"/>
    <w:rsid w:val="00222C6E"/>
    <w:rsid w:val="00275DED"/>
    <w:rsid w:val="002C08AB"/>
    <w:rsid w:val="002D3124"/>
    <w:rsid w:val="002E10A4"/>
    <w:rsid w:val="002F797F"/>
    <w:rsid w:val="003144C2"/>
    <w:rsid w:val="00331D28"/>
    <w:rsid w:val="00341DFE"/>
    <w:rsid w:val="00352A91"/>
    <w:rsid w:val="0041361C"/>
    <w:rsid w:val="00417F96"/>
    <w:rsid w:val="0043476D"/>
    <w:rsid w:val="0047336F"/>
    <w:rsid w:val="0049190C"/>
    <w:rsid w:val="004B2EDB"/>
    <w:rsid w:val="0063594B"/>
    <w:rsid w:val="00663A7E"/>
    <w:rsid w:val="006A273B"/>
    <w:rsid w:val="006A280E"/>
    <w:rsid w:val="006A4E19"/>
    <w:rsid w:val="006F40B8"/>
    <w:rsid w:val="006F4438"/>
    <w:rsid w:val="007227B6"/>
    <w:rsid w:val="00752649"/>
    <w:rsid w:val="007543D5"/>
    <w:rsid w:val="007A6480"/>
    <w:rsid w:val="007E06B9"/>
    <w:rsid w:val="007F1E17"/>
    <w:rsid w:val="007F5245"/>
    <w:rsid w:val="00895FA2"/>
    <w:rsid w:val="008A3B03"/>
    <w:rsid w:val="00923141"/>
    <w:rsid w:val="00962339"/>
    <w:rsid w:val="0097795B"/>
    <w:rsid w:val="00994243"/>
    <w:rsid w:val="00994E94"/>
    <w:rsid w:val="009D22C7"/>
    <w:rsid w:val="00A23A38"/>
    <w:rsid w:val="00A35164"/>
    <w:rsid w:val="00A465F1"/>
    <w:rsid w:val="00A80505"/>
    <w:rsid w:val="00A81B3D"/>
    <w:rsid w:val="00A87B9E"/>
    <w:rsid w:val="00AD1451"/>
    <w:rsid w:val="00AE6B64"/>
    <w:rsid w:val="00B633F7"/>
    <w:rsid w:val="00B66863"/>
    <w:rsid w:val="00B80194"/>
    <w:rsid w:val="00B92608"/>
    <w:rsid w:val="00BB78B7"/>
    <w:rsid w:val="00BC0F56"/>
    <w:rsid w:val="00BD0E36"/>
    <w:rsid w:val="00BF1A1A"/>
    <w:rsid w:val="00C463E4"/>
    <w:rsid w:val="00C64AAD"/>
    <w:rsid w:val="00C66E50"/>
    <w:rsid w:val="00C73E04"/>
    <w:rsid w:val="00CB7D27"/>
    <w:rsid w:val="00D24819"/>
    <w:rsid w:val="00D316FA"/>
    <w:rsid w:val="00D46EBF"/>
    <w:rsid w:val="00D674DC"/>
    <w:rsid w:val="00DC4FB9"/>
    <w:rsid w:val="00DD3C96"/>
    <w:rsid w:val="00DD48B2"/>
    <w:rsid w:val="00DE5DC3"/>
    <w:rsid w:val="00DF54FF"/>
    <w:rsid w:val="00E5786D"/>
    <w:rsid w:val="00E618D3"/>
    <w:rsid w:val="00E90FD7"/>
    <w:rsid w:val="00EF27E9"/>
    <w:rsid w:val="00F71BBE"/>
    <w:rsid w:val="00F74250"/>
    <w:rsid w:val="00FA738D"/>
    <w:rsid w:val="00FD3F8C"/>
    <w:rsid w:val="02B5507D"/>
    <w:rsid w:val="040A59AF"/>
    <w:rsid w:val="071830B3"/>
    <w:rsid w:val="07701543"/>
    <w:rsid w:val="08847D87"/>
    <w:rsid w:val="0B46538C"/>
    <w:rsid w:val="0BCF786E"/>
    <w:rsid w:val="0BF7192C"/>
    <w:rsid w:val="0C215FF4"/>
    <w:rsid w:val="0C3731C4"/>
    <w:rsid w:val="0CD957A2"/>
    <w:rsid w:val="0CDB0CA5"/>
    <w:rsid w:val="0D3E2F48"/>
    <w:rsid w:val="10ED3EFF"/>
    <w:rsid w:val="149547D4"/>
    <w:rsid w:val="14AA5673"/>
    <w:rsid w:val="1A0B22C7"/>
    <w:rsid w:val="1A35310B"/>
    <w:rsid w:val="1A364410"/>
    <w:rsid w:val="1A445924"/>
    <w:rsid w:val="1C546989"/>
    <w:rsid w:val="1C9C6D7D"/>
    <w:rsid w:val="1DE40399"/>
    <w:rsid w:val="2061072D"/>
    <w:rsid w:val="208F37FB"/>
    <w:rsid w:val="21BC76E5"/>
    <w:rsid w:val="21DF4421"/>
    <w:rsid w:val="234D45F8"/>
    <w:rsid w:val="239C7BFA"/>
    <w:rsid w:val="259C5142"/>
    <w:rsid w:val="26BF525E"/>
    <w:rsid w:val="28C1246B"/>
    <w:rsid w:val="29760C8A"/>
    <w:rsid w:val="2CEF7FC7"/>
    <w:rsid w:val="2DC92100"/>
    <w:rsid w:val="2E1A1CB3"/>
    <w:rsid w:val="2EC333C5"/>
    <w:rsid w:val="2EE25E79"/>
    <w:rsid w:val="2F413C94"/>
    <w:rsid w:val="2FE3129F"/>
    <w:rsid w:val="30021B53"/>
    <w:rsid w:val="30093CDB"/>
    <w:rsid w:val="306B247C"/>
    <w:rsid w:val="31B97BA0"/>
    <w:rsid w:val="32B2363B"/>
    <w:rsid w:val="342E63AB"/>
    <w:rsid w:val="35347E57"/>
    <w:rsid w:val="36871A02"/>
    <w:rsid w:val="36F75539"/>
    <w:rsid w:val="376A7A76"/>
    <w:rsid w:val="38895CD0"/>
    <w:rsid w:val="38F81807"/>
    <w:rsid w:val="3936386A"/>
    <w:rsid w:val="39494A89"/>
    <w:rsid w:val="39BC1544"/>
    <w:rsid w:val="3A8D3E1B"/>
    <w:rsid w:val="3A9934B1"/>
    <w:rsid w:val="3B9001C6"/>
    <w:rsid w:val="3BB54B82"/>
    <w:rsid w:val="3D55462F"/>
    <w:rsid w:val="3DB44648"/>
    <w:rsid w:val="3E263682"/>
    <w:rsid w:val="4380094B"/>
    <w:rsid w:val="43875D58"/>
    <w:rsid w:val="45803914"/>
    <w:rsid w:val="486F54F4"/>
    <w:rsid w:val="49734B0E"/>
    <w:rsid w:val="4A0F498D"/>
    <w:rsid w:val="4CCC358C"/>
    <w:rsid w:val="50496D46"/>
    <w:rsid w:val="51EE7BDC"/>
    <w:rsid w:val="5279285E"/>
    <w:rsid w:val="54234E18"/>
    <w:rsid w:val="548B5741"/>
    <w:rsid w:val="550C4D95"/>
    <w:rsid w:val="568432FD"/>
    <w:rsid w:val="57F966E2"/>
    <w:rsid w:val="59D52770"/>
    <w:rsid w:val="59EF6B9D"/>
    <w:rsid w:val="5A445E4A"/>
    <w:rsid w:val="5C7F48CC"/>
    <w:rsid w:val="5D017424"/>
    <w:rsid w:val="5D8C4E0A"/>
    <w:rsid w:val="5DB46EC8"/>
    <w:rsid w:val="5F8935CB"/>
    <w:rsid w:val="613F1997"/>
    <w:rsid w:val="64E50514"/>
    <w:rsid w:val="65D05019"/>
    <w:rsid w:val="66E128D8"/>
    <w:rsid w:val="671B17B8"/>
    <w:rsid w:val="67483581"/>
    <w:rsid w:val="68483124"/>
    <w:rsid w:val="687E35FE"/>
    <w:rsid w:val="69696A7E"/>
    <w:rsid w:val="6A131671"/>
    <w:rsid w:val="6C5F105B"/>
    <w:rsid w:val="6D05726A"/>
    <w:rsid w:val="6EF530A1"/>
    <w:rsid w:val="6F5B773E"/>
    <w:rsid w:val="70556DE9"/>
    <w:rsid w:val="70DD6F3C"/>
    <w:rsid w:val="717767B4"/>
    <w:rsid w:val="7345352C"/>
    <w:rsid w:val="73D46DF9"/>
    <w:rsid w:val="73F039C5"/>
    <w:rsid w:val="74BA308E"/>
    <w:rsid w:val="75D96D69"/>
    <w:rsid w:val="7A962EAF"/>
    <w:rsid w:val="7AE83BB3"/>
    <w:rsid w:val="7C793044"/>
    <w:rsid w:val="7C9A0FFB"/>
    <w:rsid w:val="7DDF44F9"/>
    <w:rsid w:val="7F926A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0A4"/>
    <w:pPr>
      <w:widowControl w:val="0"/>
      <w:spacing w:line="560" w:lineRule="exact"/>
      <w:ind w:firstLineChars="200" w:firstLine="200"/>
      <w:jc w:val="both"/>
    </w:pPr>
    <w:rPr>
      <w:rFonts w:ascii="Calibri" w:eastAsia="仿宋_GB2312" w:hAnsi="Calibri"/>
      <w:kern w:val="2"/>
      <w:sz w:val="30"/>
      <w:szCs w:val="22"/>
    </w:rPr>
  </w:style>
  <w:style w:type="paragraph" w:styleId="1">
    <w:name w:val="heading 1"/>
    <w:basedOn w:val="a"/>
    <w:next w:val="a"/>
    <w:link w:val="1Char"/>
    <w:qFormat/>
    <w:rsid w:val="002E10A4"/>
    <w:pPr>
      <w:keepNext/>
      <w:keepLines/>
      <w:spacing w:line="360" w:lineRule="auto"/>
      <w:ind w:firstLineChars="0" w:firstLine="0"/>
      <w:jc w:val="center"/>
      <w:outlineLvl w:val="0"/>
    </w:pPr>
    <w:rPr>
      <w:rFonts w:ascii="Times New Roman" w:eastAsia="宋体" w:hAnsi="Times New Roman"/>
      <w:b/>
      <w:bCs/>
      <w:color w:val="000000"/>
      <w:kern w:val="44"/>
      <w:sz w:val="32"/>
      <w:szCs w:val="44"/>
    </w:rPr>
  </w:style>
  <w:style w:type="paragraph" w:styleId="2">
    <w:name w:val="heading 2"/>
    <w:basedOn w:val="a"/>
    <w:next w:val="a"/>
    <w:link w:val="2Char"/>
    <w:qFormat/>
    <w:rsid w:val="002E10A4"/>
    <w:pPr>
      <w:keepNext/>
      <w:keepLines/>
      <w:spacing w:line="360" w:lineRule="auto"/>
      <w:ind w:firstLineChars="0" w:firstLine="0"/>
      <w:outlineLvl w:val="1"/>
    </w:pPr>
    <w:rPr>
      <w:rFonts w:ascii="Times New Roman" w:eastAsia="宋体" w:hAnsi="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2E10A4"/>
    <w:pPr>
      <w:jc w:val="left"/>
    </w:pPr>
  </w:style>
  <w:style w:type="paragraph" w:styleId="a4">
    <w:name w:val="Balloon Text"/>
    <w:basedOn w:val="a"/>
    <w:link w:val="Char"/>
    <w:uiPriority w:val="99"/>
    <w:semiHidden/>
    <w:unhideWhenUsed/>
    <w:qFormat/>
    <w:rsid w:val="002E10A4"/>
    <w:pPr>
      <w:spacing w:line="240" w:lineRule="auto"/>
    </w:pPr>
    <w:rPr>
      <w:sz w:val="18"/>
      <w:szCs w:val="18"/>
    </w:rPr>
  </w:style>
  <w:style w:type="paragraph" w:styleId="a5">
    <w:name w:val="footer"/>
    <w:basedOn w:val="a"/>
    <w:link w:val="Char0"/>
    <w:uiPriority w:val="99"/>
    <w:unhideWhenUsed/>
    <w:qFormat/>
    <w:rsid w:val="002E10A4"/>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rsid w:val="002E10A4"/>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paragraph" w:styleId="a7">
    <w:name w:val="Normal (Web)"/>
    <w:basedOn w:val="a"/>
    <w:uiPriority w:val="99"/>
    <w:qFormat/>
    <w:rsid w:val="002E10A4"/>
    <w:pPr>
      <w:widowControl/>
      <w:spacing w:before="100" w:beforeAutospacing="1" w:after="100" w:afterAutospacing="1"/>
      <w:jc w:val="left"/>
    </w:pPr>
    <w:rPr>
      <w:rFonts w:ascii="宋体" w:eastAsia="宋体" w:hAnsi="宋体" w:cs="宋体"/>
      <w:color w:val="000000"/>
      <w:kern w:val="0"/>
      <w:sz w:val="24"/>
      <w:szCs w:val="24"/>
    </w:rPr>
  </w:style>
  <w:style w:type="table" w:styleId="a8">
    <w:name w:val="Table Grid"/>
    <w:basedOn w:val="a1"/>
    <w:uiPriority w:val="59"/>
    <w:qFormat/>
    <w:rsid w:val="002E10A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Strong"/>
    <w:uiPriority w:val="22"/>
    <w:qFormat/>
    <w:rsid w:val="002E10A4"/>
    <w:rPr>
      <w:b/>
      <w:bCs/>
    </w:rPr>
  </w:style>
  <w:style w:type="character" w:customStyle="1" w:styleId="Char1">
    <w:name w:val="页眉 Char"/>
    <w:basedOn w:val="a0"/>
    <w:link w:val="a6"/>
    <w:uiPriority w:val="99"/>
    <w:qFormat/>
    <w:rsid w:val="002E10A4"/>
    <w:rPr>
      <w:sz w:val="18"/>
      <w:szCs w:val="18"/>
    </w:rPr>
  </w:style>
  <w:style w:type="character" w:customStyle="1" w:styleId="Char0">
    <w:name w:val="页脚 Char"/>
    <w:basedOn w:val="a0"/>
    <w:link w:val="a5"/>
    <w:uiPriority w:val="99"/>
    <w:qFormat/>
    <w:rsid w:val="002E10A4"/>
    <w:rPr>
      <w:sz w:val="18"/>
      <w:szCs w:val="18"/>
    </w:rPr>
  </w:style>
  <w:style w:type="character" w:customStyle="1" w:styleId="1Char">
    <w:name w:val="标题 1 Char"/>
    <w:basedOn w:val="a0"/>
    <w:link w:val="1"/>
    <w:qFormat/>
    <w:rsid w:val="002E10A4"/>
    <w:rPr>
      <w:rFonts w:ascii="Times New Roman" w:eastAsia="宋体" w:hAnsi="Times New Roman" w:cs="Times New Roman"/>
      <w:b/>
      <w:bCs/>
      <w:color w:val="000000"/>
      <w:kern w:val="44"/>
      <w:sz w:val="32"/>
      <w:szCs w:val="44"/>
    </w:rPr>
  </w:style>
  <w:style w:type="character" w:customStyle="1" w:styleId="2Char">
    <w:name w:val="标题 2 Char"/>
    <w:basedOn w:val="a0"/>
    <w:link w:val="2"/>
    <w:qFormat/>
    <w:rsid w:val="002E10A4"/>
    <w:rPr>
      <w:rFonts w:ascii="Times New Roman" w:eastAsia="宋体" w:hAnsi="Times New Roman" w:cs="Times New Roman"/>
      <w:b/>
      <w:sz w:val="24"/>
      <w:szCs w:val="20"/>
    </w:rPr>
  </w:style>
  <w:style w:type="character" w:customStyle="1" w:styleId="Char">
    <w:name w:val="批注框文本 Char"/>
    <w:basedOn w:val="a0"/>
    <w:link w:val="a4"/>
    <w:uiPriority w:val="99"/>
    <w:semiHidden/>
    <w:qFormat/>
    <w:rsid w:val="002E10A4"/>
    <w:rPr>
      <w:rFonts w:ascii="Calibri" w:eastAsia="仿宋_GB2312" w:hAnsi="Calibri" w:cs="Times New Roman"/>
      <w:sz w:val="18"/>
      <w:szCs w:val="18"/>
    </w:rPr>
  </w:style>
  <w:style w:type="paragraph" w:customStyle="1" w:styleId="10">
    <w:name w:val="修订1"/>
    <w:hidden/>
    <w:uiPriority w:val="99"/>
    <w:semiHidden/>
    <w:qFormat/>
    <w:rsid w:val="002E10A4"/>
    <w:rPr>
      <w:rFonts w:ascii="Calibri" w:eastAsia="仿宋_GB2312" w:hAnsi="Calibri"/>
      <w:kern w:val="2"/>
      <w:sz w:val="30"/>
      <w:szCs w:val="22"/>
    </w:rPr>
  </w:style>
  <w:style w:type="paragraph" w:styleId="aa">
    <w:name w:val="List Paragraph"/>
    <w:basedOn w:val="a"/>
    <w:uiPriority w:val="99"/>
    <w:qFormat/>
    <w:rsid w:val="002E10A4"/>
    <w:pPr>
      <w:ind w:firstLine="420"/>
    </w:pPr>
  </w:style>
  <w:style w:type="paragraph" w:customStyle="1" w:styleId="20">
    <w:name w:val="修订2"/>
    <w:hidden/>
    <w:uiPriority w:val="99"/>
    <w:unhideWhenUsed/>
    <w:qFormat/>
    <w:rsid w:val="002E10A4"/>
    <w:rPr>
      <w:rFonts w:ascii="Calibri" w:eastAsia="仿宋_GB2312" w:hAnsi="Calibri"/>
      <w:kern w:val="2"/>
      <w:sz w:val="30"/>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208</Words>
  <Characters>1192</Characters>
  <Application>Microsoft Office Word</Application>
  <DocSecurity>4</DocSecurity>
  <Lines>9</Lines>
  <Paragraphs>2</Paragraphs>
  <ScaleCrop>false</ScaleCrop>
  <Company>CNSTOCK</Company>
  <LinksUpToDate>false</LinksUpToDate>
  <CharactersWithSpaces>1398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陶人杰</dc:creator>
  <cp:lastModifiedBy>ZHONGM</cp:lastModifiedBy>
  <cp:revision>2</cp:revision>
  <dcterms:created xsi:type="dcterms:W3CDTF">2025-12-25T16:03:00Z</dcterms:created>
  <dcterms:modified xsi:type="dcterms:W3CDTF">2025-12-25T16:03:00Z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D6299E2F921C40489EE0F90F28EEFF8E_13</vt:lpwstr>
  </property>
</Properties>
</file>