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B67" w:rsidRDefault="007865A1" w:rsidP="006B75E8">
      <w:pPr>
        <w:jc w:val="center"/>
        <w:rPr>
          <w:b/>
          <w:sz w:val="28"/>
        </w:rPr>
      </w:pPr>
      <w:bookmarkStart w:id="0" w:name="_GoBack"/>
      <w:r w:rsidRPr="007865A1">
        <w:rPr>
          <w:rFonts w:hint="eastAsia"/>
          <w:b/>
          <w:sz w:val="28"/>
        </w:rPr>
        <w:t>关于</w:t>
      </w:r>
      <w:r w:rsidR="000705E6">
        <w:rPr>
          <w:rFonts w:hint="eastAsia"/>
          <w:b/>
          <w:sz w:val="28"/>
        </w:rPr>
        <w:t>淳厚益加增强债券型证券投资基金</w:t>
      </w:r>
      <w:r w:rsidRPr="007865A1">
        <w:rPr>
          <w:rFonts w:hint="eastAsia"/>
          <w:b/>
          <w:sz w:val="28"/>
        </w:rPr>
        <w:t>非港股通交易日暂停申购、赎回</w:t>
      </w:r>
      <w:r w:rsidR="000705E6">
        <w:rPr>
          <w:rFonts w:hint="eastAsia"/>
          <w:b/>
          <w:sz w:val="28"/>
        </w:rPr>
        <w:t>、</w:t>
      </w:r>
      <w:r w:rsidR="000705E6" w:rsidRPr="000705E6">
        <w:rPr>
          <w:rFonts w:hint="eastAsia"/>
          <w:b/>
          <w:sz w:val="28"/>
        </w:rPr>
        <w:t>转换和定期定额</w:t>
      </w:r>
      <w:r w:rsidR="000705E6">
        <w:rPr>
          <w:rFonts w:hint="eastAsia"/>
          <w:b/>
          <w:sz w:val="28"/>
        </w:rPr>
        <w:t>投资</w:t>
      </w:r>
      <w:r w:rsidRPr="007865A1">
        <w:rPr>
          <w:rFonts w:hint="eastAsia"/>
          <w:b/>
          <w:sz w:val="28"/>
        </w:rPr>
        <w:t>等业务的公告</w:t>
      </w:r>
    </w:p>
    <w:bookmarkEnd w:id="0"/>
    <w:p w:rsidR="007865A1" w:rsidRDefault="007865A1" w:rsidP="007865A1">
      <w:pPr>
        <w:jc w:val="left"/>
        <w:rPr>
          <w:b/>
          <w:sz w:val="28"/>
        </w:rPr>
      </w:pPr>
    </w:p>
    <w:p w:rsidR="000705E6" w:rsidRPr="000705E6" w:rsidRDefault="000705E6" w:rsidP="000705E6">
      <w:pPr>
        <w:spacing w:line="360" w:lineRule="auto"/>
        <w:ind w:firstLineChars="200" w:firstLine="480"/>
        <w:rPr>
          <w:sz w:val="24"/>
          <w:szCs w:val="24"/>
        </w:rPr>
      </w:pPr>
      <w:r w:rsidRPr="000705E6">
        <w:rPr>
          <w:rFonts w:hint="eastAsia"/>
          <w:sz w:val="24"/>
          <w:szCs w:val="24"/>
        </w:rPr>
        <w:t>为了保障基金平稳运作、维护基金份额持有人利益，根据</w:t>
      </w:r>
      <w:r>
        <w:rPr>
          <w:rFonts w:hint="eastAsia"/>
          <w:sz w:val="24"/>
          <w:szCs w:val="24"/>
        </w:rPr>
        <w:t>淳厚益加增强债券型证券投资基金（以下简称“本基金”）</w:t>
      </w:r>
      <w:r w:rsidRPr="000705E6">
        <w:rPr>
          <w:rFonts w:hint="eastAsia"/>
          <w:sz w:val="24"/>
          <w:szCs w:val="24"/>
        </w:rPr>
        <w:t>基金合同、招募说明书等相关法律文件的规定，同时根据上海证券交易所《关于</w:t>
      </w:r>
      <w:r w:rsidRPr="000705E6">
        <w:rPr>
          <w:rFonts w:hint="eastAsia"/>
          <w:sz w:val="24"/>
          <w:szCs w:val="24"/>
        </w:rPr>
        <w:t>2024</w:t>
      </w:r>
      <w:r w:rsidRPr="000705E6">
        <w:rPr>
          <w:rFonts w:hint="eastAsia"/>
          <w:sz w:val="24"/>
          <w:szCs w:val="24"/>
        </w:rPr>
        <w:t>年岁末及</w:t>
      </w:r>
      <w:r w:rsidRPr="000705E6">
        <w:rPr>
          <w:rFonts w:hint="eastAsia"/>
          <w:sz w:val="24"/>
          <w:szCs w:val="24"/>
        </w:rPr>
        <w:t>2025</w:t>
      </w:r>
      <w:r w:rsidRPr="000705E6">
        <w:rPr>
          <w:rFonts w:hint="eastAsia"/>
          <w:sz w:val="24"/>
          <w:szCs w:val="24"/>
        </w:rPr>
        <w:t>年沪港通下港股通交易日安排的通知》、深圳证券交易所《关于</w:t>
      </w:r>
      <w:r w:rsidRPr="000705E6">
        <w:rPr>
          <w:rFonts w:hint="eastAsia"/>
          <w:sz w:val="24"/>
          <w:szCs w:val="24"/>
        </w:rPr>
        <w:t>2024</w:t>
      </w:r>
      <w:r w:rsidRPr="000705E6">
        <w:rPr>
          <w:rFonts w:hint="eastAsia"/>
          <w:sz w:val="24"/>
          <w:szCs w:val="24"/>
        </w:rPr>
        <w:t>年底及</w:t>
      </w:r>
      <w:r w:rsidRPr="000705E6">
        <w:rPr>
          <w:rFonts w:hint="eastAsia"/>
          <w:sz w:val="24"/>
          <w:szCs w:val="24"/>
        </w:rPr>
        <w:t>2025</w:t>
      </w:r>
      <w:r w:rsidRPr="000705E6">
        <w:rPr>
          <w:rFonts w:hint="eastAsia"/>
          <w:sz w:val="24"/>
          <w:szCs w:val="24"/>
        </w:rPr>
        <w:t>年深港通下的港股通交易日有关安排的通知》，</w:t>
      </w:r>
      <w:r>
        <w:rPr>
          <w:rFonts w:hint="eastAsia"/>
          <w:sz w:val="24"/>
          <w:szCs w:val="24"/>
        </w:rPr>
        <w:t>淳厚</w:t>
      </w:r>
      <w:r w:rsidRPr="000705E6">
        <w:rPr>
          <w:rFonts w:hint="eastAsia"/>
          <w:sz w:val="24"/>
          <w:szCs w:val="24"/>
        </w:rPr>
        <w:t>基金管理有限公司（以下简称“本公司”）决定，</w:t>
      </w:r>
      <w:r>
        <w:rPr>
          <w:rFonts w:hint="eastAsia"/>
          <w:sz w:val="24"/>
          <w:szCs w:val="24"/>
        </w:rPr>
        <w:t>本基金</w:t>
      </w:r>
      <w:r w:rsidRPr="000705E6">
        <w:rPr>
          <w:rFonts w:hint="eastAsia"/>
          <w:sz w:val="24"/>
          <w:szCs w:val="24"/>
        </w:rPr>
        <w:t>在下列上海证券交易所和深圳证券交易所的非港股通交易日将暂停申购、赎回、转换及定期定额投资等业务，并自下列非港股通交易日的</w:t>
      </w:r>
      <w:r>
        <w:rPr>
          <w:rFonts w:hint="eastAsia"/>
          <w:sz w:val="24"/>
          <w:szCs w:val="24"/>
        </w:rPr>
        <w:t>下一</w:t>
      </w:r>
      <w:r w:rsidRPr="000705E6">
        <w:rPr>
          <w:rFonts w:hint="eastAsia"/>
          <w:sz w:val="24"/>
          <w:szCs w:val="24"/>
        </w:rPr>
        <w:t>开放日恢复</w:t>
      </w:r>
      <w:r>
        <w:rPr>
          <w:rFonts w:hint="eastAsia"/>
          <w:sz w:val="24"/>
          <w:szCs w:val="24"/>
        </w:rPr>
        <w:t>本</w:t>
      </w:r>
      <w:r w:rsidRPr="000705E6">
        <w:rPr>
          <w:rFonts w:hint="eastAsia"/>
          <w:sz w:val="24"/>
          <w:szCs w:val="24"/>
        </w:rPr>
        <w:t>基金的日常申购、赎回、转换及定期定额投资等业务，届时不再另行公告。现将相关事项公告如下：</w:t>
      </w:r>
    </w:p>
    <w:p w:rsidR="007865A1" w:rsidRPr="007865A1" w:rsidRDefault="007865A1" w:rsidP="00FE22BE">
      <w:pPr>
        <w:spacing w:line="360" w:lineRule="auto"/>
        <w:jc w:val="left"/>
        <w:rPr>
          <w:sz w:val="22"/>
        </w:rPr>
      </w:pPr>
    </w:p>
    <w:p w:rsidR="007865A1" w:rsidRPr="006B75E8" w:rsidRDefault="006B75E8" w:rsidP="00FE22BE">
      <w:pPr>
        <w:spacing w:line="360" w:lineRule="auto"/>
        <w:ind w:firstLineChars="200" w:firstLine="482"/>
        <w:jc w:val="left"/>
        <w:rPr>
          <w:b/>
          <w:sz w:val="24"/>
          <w:szCs w:val="24"/>
        </w:rPr>
      </w:pPr>
      <w:r w:rsidRPr="006B75E8">
        <w:rPr>
          <w:rFonts w:hint="eastAsia"/>
          <w:b/>
          <w:sz w:val="24"/>
          <w:szCs w:val="24"/>
        </w:rPr>
        <w:t>一、</w:t>
      </w:r>
      <w:r w:rsidR="007865A1" w:rsidRPr="006B75E8">
        <w:rPr>
          <w:rFonts w:hint="eastAsia"/>
          <w:b/>
          <w:sz w:val="24"/>
          <w:szCs w:val="24"/>
        </w:rPr>
        <w:t>适用基金如下：</w:t>
      </w:r>
    </w:p>
    <w:tbl>
      <w:tblPr>
        <w:tblStyle w:val="a3"/>
        <w:tblW w:w="8642" w:type="dxa"/>
        <w:tblLook w:val="04A0"/>
      </w:tblPr>
      <w:tblGrid>
        <w:gridCol w:w="3397"/>
        <w:gridCol w:w="5245"/>
      </w:tblGrid>
      <w:tr w:rsidR="000705E6" w:rsidRPr="00FE22BE" w:rsidTr="000705E6">
        <w:tc>
          <w:tcPr>
            <w:tcW w:w="3397" w:type="dxa"/>
          </w:tcPr>
          <w:p w:rsidR="000705E6" w:rsidRPr="000705E6" w:rsidRDefault="000705E6" w:rsidP="00FE22BE">
            <w:pPr>
              <w:spacing w:line="360" w:lineRule="auto"/>
              <w:jc w:val="center"/>
              <w:rPr>
                <w:rFonts w:asciiTheme="minorEastAsia" w:hAnsiTheme="minorEastAsia"/>
                <w:b/>
                <w:sz w:val="22"/>
                <w:szCs w:val="24"/>
              </w:rPr>
            </w:pPr>
            <w:r w:rsidRPr="000705E6">
              <w:rPr>
                <w:rFonts w:asciiTheme="minorEastAsia" w:hAnsiTheme="minorEastAsia" w:hint="eastAsia"/>
                <w:b/>
                <w:sz w:val="22"/>
                <w:szCs w:val="24"/>
              </w:rPr>
              <w:t>基金代码</w:t>
            </w:r>
          </w:p>
        </w:tc>
        <w:tc>
          <w:tcPr>
            <w:tcW w:w="5245" w:type="dxa"/>
          </w:tcPr>
          <w:p w:rsidR="000705E6" w:rsidRPr="000705E6" w:rsidRDefault="000705E6" w:rsidP="00FE22BE">
            <w:pPr>
              <w:spacing w:line="360" w:lineRule="auto"/>
              <w:jc w:val="center"/>
              <w:rPr>
                <w:rFonts w:asciiTheme="minorEastAsia" w:hAnsiTheme="minorEastAsia"/>
                <w:b/>
                <w:sz w:val="22"/>
                <w:szCs w:val="24"/>
              </w:rPr>
            </w:pPr>
            <w:r w:rsidRPr="000705E6">
              <w:rPr>
                <w:rFonts w:asciiTheme="minorEastAsia" w:hAnsiTheme="minorEastAsia" w:hint="eastAsia"/>
                <w:b/>
                <w:sz w:val="22"/>
                <w:szCs w:val="24"/>
              </w:rPr>
              <w:t>基金全称</w:t>
            </w:r>
          </w:p>
        </w:tc>
      </w:tr>
      <w:tr w:rsidR="000705E6" w:rsidRPr="00FE22BE" w:rsidTr="000705E6">
        <w:tc>
          <w:tcPr>
            <w:tcW w:w="3397" w:type="dxa"/>
            <w:vAlign w:val="center"/>
          </w:tcPr>
          <w:p w:rsidR="000705E6" w:rsidRDefault="000705E6" w:rsidP="000705E6">
            <w:pPr>
              <w:spacing w:line="360" w:lineRule="auto"/>
              <w:jc w:val="center"/>
              <w:rPr>
                <w:rFonts w:asciiTheme="minorEastAsia" w:hAnsiTheme="minorEastAsia"/>
                <w:sz w:val="22"/>
                <w:szCs w:val="24"/>
              </w:rPr>
            </w:pPr>
            <w:r>
              <w:rPr>
                <w:rFonts w:asciiTheme="minorEastAsia" w:hAnsiTheme="minorEastAsia" w:hint="eastAsia"/>
                <w:sz w:val="22"/>
                <w:szCs w:val="24"/>
              </w:rPr>
              <w:t>0</w:t>
            </w:r>
            <w:r>
              <w:rPr>
                <w:rFonts w:asciiTheme="minorEastAsia" w:hAnsiTheme="minorEastAsia"/>
                <w:sz w:val="22"/>
                <w:szCs w:val="24"/>
              </w:rPr>
              <w:t>10513（</w:t>
            </w:r>
            <w:r>
              <w:rPr>
                <w:rFonts w:asciiTheme="minorEastAsia" w:hAnsiTheme="minorEastAsia" w:hint="eastAsia"/>
                <w:sz w:val="22"/>
                <w:szCs w:val="24"/>
              </w:rPr>
              <w:t>A类）</w:t>
            </w:r>
          </w:p>
        </w:tc>
        <w:tc>
          <w:tcPr>
            <w:tcW w:w="5245" w:type="dxa"/>
            <w:vMerge w:val="restart"/>
            <w:vAlign w:val="center"/>
          </w:tcPr>
          <w:p w:rsidR="000705E6" w:rsidRDefault="000705E6" w:rsidP="000705E6">
            <w:pPr>
              <w:spacing w:line="360" w:lineRule="auto"/>
              <w:jc w:val="center"/>
              <w:rPr>
                <w:rFonts w:asciiTheme="minorEastAsia" w:hAnsiTheme="minorEastAsia"/>
                <w:sz w:val="22"/>
                <w:szCs w:val="24"/>
              </w:rPr>
            </w:pPr>
            <w:r>
              <w:rPr>
                <w:rFonts w:asciiTheme="minorEastAsia" w:hAnsiTheme="minorEastAsia" w:hint="eastAsia"/>
                <w:sz w:val="22"/>
                <w:szCs w:val="24"/>
              </w:rPr>
              <w:t>淳厚</w:t>
            </w:r>
            <w:r w:rsidR="002A4A71">
              <w:rPr>
                <w:rFonts w:asciiTheme="minorEastAsia" w:hAnsiTheme="minorEastAsia" w:hint="eastAsia"/>
                <w:sz w:val="22"/>
                <w:szCs w:val="24"/>
              </w:rPr>
              <w:t>益加</w:t>
            </w:r>
            <w:r>
              <w:rPr>
                <w:rFonts w:asciiTheme="minorEastAsia" w:hAnsiTheme="minorEastAsia" w:hint="eastAsia"/>
                <w:sz w:val="22"/>
                <w:szCs w:val="24"/>
              </w:rPr>
              <w:t>增强债券型证券投资基金</w:t>
            </w:r>
          </w:p>
        </w:tc>
      </w:tr>
      <w:tr w:rsidR="000705E6" w:rsidRPr="00FE22BE" w:rsidTr="000705E6">
        <w:tc>
          <w:tcPr>
            <w:tcW w:w="3397" w:type="dxa"/>
            <w:vAlign w:val="center"/>
          </w:tcPr>
          <w:p w:rsidR="000705E6" w:rsidRDefault="000705E6" w:rsidP="000705E6">
            <w:pPr>
              <w:spacing w:line="360" w:lineRule="auto"/>
              <w:jc w:val="center"/>
              <w:rPr>
                <w:rFonts w:asciiTheme="minorEastAsia" w:hAnsiTheme="minorEastAsia"/>
                <w:sz w:val="22"/>
                <w:szCs w:val="24"/>
              </w:rPr>
            </w:pPr>
            <w:r>
              <w:rPr>
                <w:rFonts w:asciiTheme="minorEastAsia" w:hAnsiTheme="minorEastAsia" w:hint="eastAsia"/>
                <w:sz w:val="22"/>
                <w:szCs w:val="24"/>
              </w:rPr>
              <w:t>0</w:t>
            </w:r>
            <w:r>
              <w:rPr>
                <w:rFonts w:asciiTheme="minorEastAsia" w:hAnsiTheme="minorEastAsia"/>
                <w:sz w:val="22"/>
                <w:szCs w:val="24"/>
              </w:rPr>
              <w:t>10514（C</w:t>
            </w:r>
            <w:r>
              <w:rPr>
                <w:rFonts w:asciiTheme="minorEastAsia" w:hAnsiTheme="minorEastAsia" w:hint="eastAsia"/>
                <w:sz w:val="22"/>
                <w:szCs w:val="24"/>
              </w:rPr>
              <w:t>类）</w:t>
            </w:r>
          </w:p>
        </w:tc>
        <w:tc>
          <w:tcPr>
            <w:tcW w:w="5245" w:type="dxa"/>
            <w:vMerge/>
            <w:vAlign w:val="center"/>
          </w:tcPr>
          <w:p w:rsidR="000705E6" w:rsidRDefault="000705E6" w:rsidP="00AF686A">
            <w:pPr>
              <w:spacing w:line="360" w:lineRule="auto"/>
              <w:rPr>
                <w:rFonts w:asciiTheme="minorEastAsia" w:hAnsiTheme="minorEastAsia"/>
                <w:sz w:val="22"/>
                <w:szCs w:val="24"/>
              </w:rPr>
            </w:pPr>
          </w:p>
        </w:tc>
      </w:tr>
    </w:tbl>
    <w:p w:rsidR="007865A1" w:rsidRDefault="007865A1" w:rsidP="00FE22BE">
      <w:pPr>
        <w:spacing w:line="360" w:lineRule="auto"/>
        <w:jc w:val="left"/>
        <w:rPr>
          <w:sz w:val="24"/>
          <w:szCs w:val="24"/>
        </w:rPr>
      </w:pPr>
    </w:p>
    <w:p w:rsidR="006B75E8" w:rsidRPr="00A80A9C" w:rsidRDefault="006B75E8" w:rsidP="00A80A9C">
      <w:pPr>
        <w:spacing w:line="360" w:lineRule="auto"/>
        <w:ind w:firstLineChars="200" w:firstLine="482"/>
        <w:jc w:val="left"/>
        <w:rPr>
          <w:b/>
          <w:sz w:val="24"/>
          <w:szCs w:val="24"/>
        </w:rPr>
      </w:pPr>
      <w:r>
        <w:rPr>
          <w:rFonts w:hint="eastAsia"/>
          <w:b/>
          <w:sz w:val="24"/>
          <w:szCs w:val="24"/>
        </w:rPr>
        <w:t>二</w:t>
      </w:r>
      <w:r w:rsidRPr="006B75E8">
        <w:rPr>
          <w:rFonts w:hint="eastAsia"/>
          <w:b/>
          <w:sz w:val="24"/>
          <w:szCs w:val="24"/>
        </w:rPr>
        <w:t>、</w:t>
      </w:r>
      <w:r w:rsidR="000705E6">
        <w:rPr>
          <w:rFonts w:hint="eastAsia"/>
          <w:b/>
          <w:sz w:val="24"/>
          <w:szCs w:val="24"/>
        </w:rPr>
        <w:t>暂停时间安排</w:t>
      </w:r>
      <w:r w:rsidRPr="006B75E8">
        <w:rPr>
          <w:rFonts w:hint="eastAsia"/>
          <w:b/>
          <w:sz w:val="24"/>
          <w:szCs w:val="24"/>
        </w:rPr>
        <w: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3397"/>
        <w:gridCol w:w="5245"/>
      </w:tblGrid>
      <w:tr w:rsidR="005142B9" w:rsidRPr="006B75E8" w:rsidTr="005142B9">
        <w:trPr>
          <w:trHeight w:val="576"/>
        </w:trPr>
        <w:tc>
          <w:tcPr>
            <w:tcW w:w="3397" w:type="dxa"/>
            <w:shd w:val="clear" w:color="auto" w:fill="FFFFFF"/>
            <w:tcMar>
              <w:top w:w="60" w:type="dxa"/>
              <w:left w:w="120" w:type="dxa"/>
              <w:bottom w:w="60" w:type="dxa"/>
              <w:right w:w="60" w:type="dxa"/>
            </w:tcMar>
            <w:vAlign w:val="center"/>
            <w:hideMark/>
          </w:tcPr>
          <w:p w:rsidR="006B75E8" w:rsidRPr="006E0033" w:rsidRDefault="000705E6" w:rsidP="005142B9">
            <w:pPr>
              <w:adjustRightInd w:val="0"/>
              <w:snapToGrid w:val="0"/>
              <w:jc w:val="center"/>
              <w:rPr>
                <w:rFonts w:asciiTheme="minorEastAsia" w:hAnsiTheme="minorEastAsia"/>
                <w:b/>
                <w:sz w:val="22"/>
                <w:szCs w:val="24"/>
              </w:rPr>
            </w:pPr>
            <w:r>
              <w:rPr>
                <w:rFonts w:asciiTheme="minorEastAsia" w:hAnsiTheme="minorEastAsia" w:hint="eastAsia"/>
                <w:b/>
                <w:sz w:val="22"/>
                <w:szCs w:val="24"/>
              </w:rPr>
              <w:t>暂停</w:t>
            </w:r>
            <w:r w:rsidR="00F80034">
              <w:rPr>
                <w:rFonts w:asciiTheme="minorEastAsia" w:hAnsiTheme="minorEastAsia" w:hint="eastAsia"/>
                <w:b/>
                <w:sz w:val="22"/>
                <w:szCs w:val="24"/>
              </w:rPr>
              <w:t>时间</w:t>
            </w:r>
          </w:p>
        </w:tc>
        <w:tc>
          <w:tcPr>
            <w:tcW w:w="5245" w:type="dxa"/>
            <w:shd w:val="clear" w:color="auto" w:fill="FFFFFF"/>
            <w:tcMar>
              <w:top w:w="60" w:type="dxa"/>
              <w:left w:w="120" w:type="dxa"/>
              <w:bottom w:w="60" w:type="dxa"/>
              <w:right w:w="60" w:type="dxa"/>
            </w:tcMar>
            <w:vAlign w:val="center"/>
            <w:hideMark/>
          </w:tcPr>
          <w:p w:rsidR="006B75E8" w:rsidRPr="006E0033" w:rsidRDefault="000705E6" w:rsidP="00AF686A">
            <w:pPr>
              <w:adjustRightInd w:val="0"/>
              <w:snapToGrid w:val="0"/>
              <w:jc w:val="center"/>
              <w:rPr>
                <w:rFonts w:asciiTheme="minorEastAsia" w:hAnsiTheme="minorEastAsia"/>
                <w:b/>
                <w:sz w:val="22"/>
                <w:szCs w:val="24"/>
              </w:rPr>
            </w:pPr>
            <w:r>
              <w:rPr>
                <w:rFonts w:asciiTheme="minorEastAsia" w:hAnsiTheme="minorEastAsia" w:hint="eastAsia"/>
                <w:b/>
                <w:sz w:val="22"/>
                <w:szCs w:val="24"/>
              </w:rPr>
              <w:t>节假日名称</w:t>
            </w:r>
          </w:p>
        </w:tc>
      </w:tr>
      <w:tr w:rsidR="008F274A" w:rsidRPr="006B75E8" w:rsidTr="00DA684B">
        <w:trPr>
          <w:trHeight w:val="562"/>
        </w:trPr>
        <w:tc>
          <w:tcPr>
            <w:tcW w:w="3397" w:type="dxa"/>
            <w:shd w:val="clear" w:color="auto" w:fill="auto"/>
            <w:tcMar>
              <w:top w:w="60" w:type="dxa"/>
              <w:left w:w="120" w:type="dxa"/>
              <w:bottom w:w="60" w:type="dxa"/>
              <w:right w:w="60" w:type="dxa"/>
            </w:tcMar>
            <w:vAlign w:val="center"/>
            <w:hideMark/>
          </w:tcPr>
          <w:p w:rsidR="008F274A" w:rsidRPr="006B75E8" w:rsidRDefault="008F274A" w:rsidP="008F274A">
            <w:pPr>
              <w:adjustRightInd w:val="0"/>
              <w:snapToGrid w:val="0"/>
              <w:jc w:val="center"/>
              <w:rPr>
                <w:rFonts w:asciiTheme="minorEastAsia" w:hAnsiTheme="minorEastAsia"/>
                <w:sz w:val="22"/>
                <w:szCs w:val="24"/>
              </w:rPr>
            </w:pPr>
            <w:r w:rsidRPr="006E0033">
              <w:rPr>
                <w:rFonts w:asciiTheme="minorEastAsia" w:hAnsiTheme="minorEastAsia" w:hint="eastAsia"/>
                <w:sz w:val="22"/>
                <w:szCs w:val="24"/>
              </w:rPr>
              <w:t>香港</w:t>
            </w:r>
            <w:r w:rsidR="000705E6">
              <w:rPr>
                <w:rFonts w:asciiTheme="minorEastAsia" w:hAnsiTheme="minorEastAsia" w:hint="eastAsia"/>
                <w:sz w:val="22"/>
                <w:szCs w:val="24"/>
              </w:rPr>
              <w:t>圣诞节</w:t>
            </w:r>
          </w:p>
        </w:tc>
        <w:tc>
          <w:tcPr>
            <w:tcW w:w="5245" w:type="dxa"/>
            <w:shd w:val="clear" w:color="auto" w:fill="auto"/>
            <w:tcMar>
              <w:top w:w="60" w:type="dxa"/>
              <w:left w:w="120" w:type="dxa"/>
              <w:bottom w:w="60" w:type="dxa"/>
              <w:right w:w="60" w:type="dxa"/>
            </w:tcMar>
            <w:vAlign w:val="center"/>
            <w:hideMark/>
          </w:tcPr>
          <w:p w:rsidR="008F274A" w:rsidRPr="006B75E8" w:rsidRDefault="000705E6" w:rsidP="000705E6">
            <w:pPr>
              <w:adjustRightInd w:val="0"/>
              <w:snapToGrid w:val="0"/>
              <w:jc w:val="center"/>
              <w:rPr>
                <w:rFonts w:asciiTheme="minorEastAsia" w:hAnsiTheme="minorEastAsia"/>
                <w:sz w:val="22"/>
                <w:szCs w:val="24"/>
              </w:rPr>
            </w:pPr>
            <w:r>
              <w:rPr>
                <w:rFonts w:asciiTheme="minorEastAsia" w:hAnsiTheme="minorEastAsia"/>
                <w:sz w:val="22"/>
                <w:szCs w:val="24"/>
              </w:rPr>
              <w:t>2025</w:t>
            </w:r>
            <w:r>
              <w:rPr>
                <w:rFonts w:asciiTheme="minorEastAsia" w:hAnsiTheme="minorEastAsia" w:hint="eastAsia"/>
                <w:sz w:val="22"/>
                <w:szCs w:val="24"/>
              </w:rPr>
              <w:t>年1</w:t>
            </w:r>
            <w:r>
              <w:rPr>
                <w:rFonts w:asciiTheme="minorEastAsia" w:hAnsiTheme="minorEastAsia"/>
                <w:sz w:val="22"/>
                <w:szCs w:val="24"/>
              </w:rPr>
              <w:t>2</w:t>
            </w:r>
            <w:r>
              <w:rPr>
                <w:rFonts w:asciiTheme="minorEastAsia" w:hAnsiTheme="minorEastAsia" w:hint="eastAsia"/>
                <w:sz w:val="22"/>
                <w:szCs w:val="24"/>
              </w:rPr>
              <w:t>月</w:t>
            </w:r>
            <w:r>
              <w:rPr>
                <w:rFonts w:asciiTheme="minorEastAsia" w:hAnsiTheme="minorEastAsia"/>
                <w:sz w:val="22"/>
                <w:szCs w:val="24"/>
              </w:rPr>
              <w:t>26</w:t>
            </w:r>
            <w:r>
              <w:rPr>
                <w:rFonts w:asciiTheme="minorEastAsia" w:hAnsiTheme="minorEastAsia" w:hint="eastAsia"/>
                <w:sz w:val="22"/>
                <w:szCs w:val="24"/>
              </w:rPr>
              <w:t>日</w:t>
            </w:r>
            <w:r w:rsidR="008F274A">
              <w:rPr>
                <w:rFonts w:asciiTheme="minorEastAsia" w:hAnsiTheme="minorEastAsia" w:hint="eastAsia"/>
                <w:sz w:val="22"/>
                <w:szCs w:val="24"/>
              </w:rPr>
              <w:t>（星期五</w:t>
            </w:r>
            <w:r w:rsidR="008F274A" w:rsidRPr="006E0033">
              <w:rPr>
                <w:rFonts w:asciiTheme="minorEastAsia" w:hAnsiTheme="minorEastAsia" w:hint="eastAsia"/>
                <w:sz w:val="22"/>
                <w:szCs w:val="24"/>
              </w:rPr>
              <w:t>）</w:t>
            </w:r>
          </w:p>
        </w:tc>
      </w:tr>
      <w:tr w:rsidR="008F274A" w:rsidRPr="006B75E8" w:rsidTr="00636300">
        <w:trPr>
          <w:trHeight w:val="562"/>
        </w:trPr>
        <w:tc>
          <w:tcPr>
            <w:tcW w:w="3397" w:type="dxa"/>
            <w:shd w:val="clear" w:color="auto" w:fill="FFFFFF" w:themeFill="background1"/>
            <w:tcMar>
              <w:top w:w="60" w:type="dxa"/>
              <w:left w:w="120" w:type="dxa"/>
              <w:bottom w:w="60" w:type="dxa"/>
              <w:right w:w="60" w:type="dxa"/>
            </w:tcMar>
            <w:vAlign w:val="center"/>
          </w:tcPr>
          <w:p w:rsidR="008F274A" w:rsidRPr="006B75E8" w:rsidRDefault="000705E6" w:rsidP="008F274A">
            <w:pPr>
              <w:adjustRightInd w:val="0"/>
              <w:snapToGrid w:val="0"/>
              <w:jc w:val="center"/>
              <w:rPr>
                <w:rFonts w:asciiTheme="minorEastAsia" w:hAnsiTheme="minorEastAsia"/>
                <w:sz w:val="22"/>
                <w:szCs w:val="24"/>
              </w:rPr>
            </w:pPr>
            <w:r>
              <w:rPr>
                <w:rFonts w:asciiTheme="minorEastAsia" w:hAnsiTheme="minorEastAsia" w:hint="eastAsia"/>
                <w:sz w:val="22"/>
                <w:szCs w:val="24"/>
              </w:rPr>
              <w:t>香港新年前夕</w:t>
            </w:r>
          </w:p>
        </w:tc>
        <w:tc>
          <w:tcPr>
            <w:tcW w:w="5245" w:type="dxa"/>
            <w:shd w:val="clear" w:color="auto" w:fill="FFFFFF" w:themeFill="background1"/>
            <w:tcMar>
              <w:top w:w="60" w:type="dxa"/>
              <w:left w:w="120" w:type="dxa"/>
              <w:bottom w:w="60" w:type="dxa"/>
              <w:right w:w="60" w:type="dxa"/>
            </w:tcMar>
            <w:vAlign w:val="center"/>
          </w:tcPr>
          <w:p w:rsidR="008F274A" w:rsidRPr="006E0033" w:rsidRDefault="000705E6" w:rsidP="000705E6">
            <w:pPr>
              <w:adjustRightInd w:val="0"/>
              <w:snapToGrid w:val="0"/>
              <w:jc w:val="center"/>
              <w:rPr>
                <w:rFonts w:asciiTheme="minorEastAsia" w:hAnsiTheme="minorEastAsia"/>
                <w:sz w:val="22"/>
                <w:szCs w:val="24"/>
              </w:rPr>
            </w:pPr>
            <w:r>
              <w:rPr>
                <w:rFonts w:asciiTheme="minorEastAsia" w:hAnsiTheme="minorEastAsia"/>
                <w:sz w:val="22"/>
                <w:szCs w:val="24"/>
              </w:rPr>
              <w:t>2025</w:t>
            </w:r>
            <w:r>
              <w:rPr>
                <w:rFonts w:asciiTheme="minorEastAsia" w:hAnsiTheme="minorEastAsia" w:hint="eastAsia"/>
                <w:sz w:val="22"/>
                <w:szCs w:val="24"/>
              </w:rPr>
              <w:t>年1</w:t>
            </w:r>
            <w:r>
              <w:rPr>
                <w:rFonts w:asciiTheme="minorEastAsia" w:hAnsiTheme="minorEastAsia"/>
                <w:sz w:val="22"/>
                <w:szCs w:val="24"/>
              </w:rPr>
              <w:t>2</w:t>
            </w:r>
            <w:r>
              <w:rPr>
                <w:rFonts w:asciiTheme="minorEastAsia" w:hAnsiTheme="minorEastAsia" w:hint="eastAsia"/>
                <w:sz w:val="22"/>
                <w:szCs w:val="24"/>
              </w:rPr>
              <w:t>月3</w:t>
            </w:r>
            <w:r>
              <w:rPr>
                <w:rFonts w:asciiTheme="minorEastAsia" w:hAnsiTheme="minorEastAsia"/>
                <w:sz w:val="22"/>
                <w:szCs w:val="24"/>
              </w:rPr>
              <w:t>1</w:t>
            </w:r>
            <w:r>
              <w:rPr>
                <w:rFonts w:asciiTheme="minorEastAsia" w:hAnsiTheme="minorEastAsia" w:hint="eastAsia"/>
                <w:sz w:val="22"/>
                <w:szCs w:val="24"/>
              </w:rPr>
              <w:t>日</w:t>
            </w:r>
            <w:r w:rsidR="008F274A" w:rsidRPr="006E0033">
              <w:rPr>
                <w:rFonts w:asciiTheme="minorEastAsia" w:hAnsiTheme="minorEastAsia" w:hint="eastAsia"/>
                <w:sz w:val="22"/>
                <w:szCs w:val="24"/>
              </w:rPr>
              <w:t>（星期</w:t>
            </w:r>
            <w:r>
              <w:rPr>
                <w:rFonts w:asciiTheme="minorEastAsia" w:hAnsiTheme="minorEastAsia" w:hint="eastAsia"/>
                <w:sz w:val="22"/>
                <w:szCs w:val="24"/>
              </w:rPr>
              <w:t>三</w:t>
            </w:r>
            <w:r w:rsidR="008F274A" w:rsidRPr="006E0033">
              <w:rPr>
                <w:rFonts w:asciiTheme="minorEastAsia" w:hAnsiTheme="minorEastAsia" w:hint="eastAsia"/>
                <w:sz w:val="22"/>
                <w:szCs w:val="24"/>
              </w:rPr>
              <w:t>）</w:t>
            </w:r>
          </w:p>
        </w:tc>
      </w:tr>
    </w:tbl>
    <w:p w:rsidR="006B75E8" w:rsidRPr="006B75E8" w:rsidRDefault="000705E6" w:rsidP="00ED0934">
      <w:pPr>
        <w:spacing w:beforeLines="50" w:line="360" w:lineRule="auto"/>
        <w:ind w:firstLineChars="200" w:firstLine="480"/>
        <w:rPr>
          <w:sz w:val="24"/>
          <w:szCs w:val="24"/>
        </w:rPr>
      </w:pPr>
      <w:r>
        <w:rPr>
          <w:rFonts w:hint="eastAsia"/>
          <w:sz w:val="24"/>
          <w:szCs w:val="24"/>
        </w:rPr>
        <w:t>注：</w:t>
      </w:r>
      <w:r w:rsidRPr="000705E6">
        <w:rPr>
          <w:rFonts w:hint="eastAsia"/>
          <w:sz w:val="24"/>
          <w:szCs w:val="24"/>
        </w:rPr>
        <w:t>若非港股通交易日安排发生变化的，本基金管理人将进行相应的调整并公告。</w:t>
      </w:r>
    </w:p>
    <w:p w:rsidR="006B75E8" w:rsidRDefault="006B75E8" w:rsidP="00FE22BE">
      <w:pPr>
        <w:spacing w:line="360" w:lineRule="auto"/>
        <w:jc w:val="left"/>
        <w:rPr>
          <w:sz w:val="24"/>
          <w:szCs w:val="24"/>
        </w:rPr>
      </w:pPr>
    </w:p>
    <w:p w:rsidR="006B75E8" w:rsidRPr="006B75E8" w:rsidRDefault="006B75E8" w:rsidP="006B75E8">
      <w:pPr>
        <w:spacing w:line="360" w:lineRule="auto"/>
        <w:ind w:firstLineChars="200" w:firstLine="482"/>
        <w:jc w:val="left"/>
        <w:rPr>
          <w:b/>
          <w:sz w:val="24"/>
          <w:szCs w:val="24"/>
        </w:rPr>
      </w:pPr>
      <w:r>
        <w:rPr>
          <w:rFonts w:hint="eastAsia"/>
          <w:b/>
          <w:sz w:val="24"/>
          <w:szCs w:val="24"/>
        </w:rPr>
        <w:t>三、其他</w:t>
      </w:r>
      <w:r w:rsidRPr="006B75E8">
        <w:rPr>
          <w:rFonts w:hint="eastAsia"/>
          <w:b/>
          <w:sz w:val="24"/>
          <w:szCs w:val="24"/>
        </w:rPr>
        <w:t>：</w:t>
      </w:r>
    </w:p>
    <w:p w:rsidR="00FE22BE" w:rsidRPr="00FE22BE" w:rsidRDefault="000705E6" w:rsidP="000B2C27">
      <w:pPr>
        <w:spacing w:line="360" w:lineRule="auto"/>
        <w:ind w:firstLineChars="200" w:firstLine="480"/>
        <w:rPr>
          <w:sz w:val="24"/>
          <w:szCs w:val="24"/>
        </w:rPr>
      </w:pPr>
      <w:r>
        <w:rPr>
          <w:sz w:val="24"/>
          <w:szCs w:val="24"/>
        </w:rPr>
        <w:t>1</w:t>
      </w:r>
      <w:r w:rsidR="007865A1" w:rsidRPr="00FE22BE">
        <w:rPr>
          <w:rFonts w:hint="eastAsia"/>
          <w:sz w:val="24"/>
          <w:szCs w:val="24"/>
        </w:rPr>
        <w:t>、投资者可以登录本公司网站（</w:t>
      </w:r>
      <w:r w:rsidR="007865A1" w:rsidRPr="00FE22BE">
        <w:rPr>
          <w:rFonts w:hint="eastAsia"/>
          <w:sz w:val="24"/>
          <w:szCs w:val="24"/>
        </w:rPr>
        <w:t>www.</w:t>
      </w:r>
      <w:r w:rsidR="004538C4" w:rsidRPr="00FE22BE">
        <w:rPr>
          <w:rFonts w:hint="eastAsia"/>
          <w:sz w:val="24"/>
          <w:szCs w:val="24"/>
        </w:rPr>
        <w:t>purekindfund</w:t>
      </w:r>
      <w:r w:rsidR="007865A1" w:rsidRPr="00FE22BE">
        <w:rPr>
          <w:rFonts w:hint="eastAsia"/>
          <w:sz w:val="24"/>
          <w:szCs w:val="24"/>
        </w:rPr>
        <w:t>.com</w:t>
      </w:r>
      <w:r w:rsidR="007865A1" w:rsidRPr="00FE22BE">
        <w:rPr>
          <w:rFonts w:hint="eastAsia"/>
          <w:sz w:val="24"/>
          <w:szCs w:val="24"/>
        </w:rPr>
        <w:t>）查询或者拨打本</w:t>
      </w:r>
      <w:r w:rsidR="007865A1" w:rsidRPr="00FE22BE">
        <w:rPr>
          <w:rFonts w:hint="eastAsia"/>
          <w:sz w:val="24"/>
          <w:szCs w:val="24"/>
        </w:rPr>
        <w:lastRenderedPageBreak/>
        <w:t>公司的客户服务电话（</w:t>
      </w:r>
      <w:r w:rsidR="004538C4" w:rsidRPr="00FE22BE">
        <w:rPr>
          <w:rFonts w:hint="eastAsia"/>
          <w:sz w:val="24"/>
          <w:szCs w:val="24"/>
        </w:rPr>
        <w:t>400-000-9738</w:t>
      </w:r>
      <w:r w:rsidR="007865A1" w:rsidRPr="00FE22BE">
        <w:rPr>
          <w:rFonts w:hint="eastAsia"/>
          <w:sz w:val="24"/>
          <w:szCs w:val="24"/>
        </w:rPr>
        <w:t>）垂询相关事宜。</w:t>
      </w:r>
    </w:p>
    <w:p w:rsidR="007865A1" w:rsidRPr="00FE22BE" w:rsidRDefault="000705E6" w:rsidP="000B2C27">
      <w:pPr>
        <w:spacing w:line="360" w:lineRule="auto"/>
        <w:ind w:firstLineChars="200" w:firstLine="480"/>
        <w:rPr>
          <w:sz w:val="24"/>
          <w:szCs w:val="24"/>
        </w:rPr>
      </w:pPr>
      <w:r>
        <w:rPr>
          <w:sz w:val="24"/>
          <w:szCs w:val="24"/>
        </w:rPr>
        <w:t>2</w:t>
      </w:r>
      <w:r w:rsidR="007865A1" w:rsidRPr="00FE22BE">
        <w:rPr>
          <w:rFonts w:hint="eastAsia"/>
          <w:sz w:val="24"/>
          <w:szCs w:val="24"/>
        </w:rPr>
        <w:t>、风险提示：本公司承诺以诚实信用、勤勉尽责的原则管理和运用基金资产，但不保证基金一定盈利，也不保证最低收益。投资者投资于本公司管理的基金时应认真阅读基金合同、招募说明书</w:t>
      </w:r>
      <w:r w:rsidR="00AF686A">
        <w:rPr>
          <w:rFonts w:hint="eastAsia"/>
          <w:sz w:val="24"/>
          <w:szCs w:val="24"/>
        </w:rPr>
        <w:t>（更新）</w:t>
      </w:r>
      <w:r w:rsidR="007865A1" w:rsidRPr="00FE22BE">
        <w:rPr>
          <w:rFonts w:hint="eastAsia"/>
          <w:sz w:val="24"/>
          <w:szCs w:val="24"/>
        </w:rPr>
        <w:t>等文件。敬请投资者注意投资风险。投资者欲了解基金详细情况，请阅读刊登于基金管理人官网的相关信息披露文件。</w:t>
      </w:r>
    </w:p>
    <w:p w:rsidR="007865A1" w:rsidRPr="00FE22BE" w:rsidRDefault="007865A1" w:rsidP="000B2C27">
      <w:pPr>
        <w:spacing w:line="360" w:lineRule="auto"/>
        <w:rPr>
          <w:sz w:val="24"/>
          <w:szCs w:val="24"/>
        </w:rPr>
      </w:pPr>
    </w:p>
    <w:p w:rsidR="007865A1" w:rsidRPr="00FE22BE" w:rsidRDefault="007865A1" w:rsidP="000B2C27">
      <w:pPr>
        <w:spacing w:line="360" w:lineRule="auto"/>
        <w:ind w:firstLineChars="200" w:firstLine="480"/>
        <w:rPr>
          <w:sz w:val="24"/>
          <w:szCs w:val="24"/>
        </w:rPr>
      </w:pPr>
      <w:r w:rsidRPr="00FE22BE">
        <w:rPr>
          <w:rFonts w:hint="eastAsia"/>
          <w:sz w:val="24"/>
          <w:szCs w:val="24"/>
        </w:rPr>
        <w:t>特此公告。</w:t>
      </w:r>
    </w:p>
    <w:p w:rsidR="007865A1" w:rsidRDefault="007865A1" w:rsidP="007865A1">
      <w:pPr>
        <w:jc w:val="left"/>
        <w:rPr>
          <w:sz w:val="24"/>
          <w:szCs w:val="24"/>
        </w:rPr>
      </w:pPr>
    </w:p>
    <w:p w:rsidR="006B75E8" w:rsidRPr="00FE22BE" w:rsidRDefault="006B75E8" w:rsidP="007865A1">
      <w:pPr>
        <w:jc w:val="left"/>
        <w:rPr>
          <w:sz w:val="24"/>
          <w:szCs w:val="24"/>
        </w:rPr>
      </w:pPr>
    </w:p>
    <w:p w:rsidR="007865A1" w:rsidRPr="00FE22BE" w:rsidRDefault="00B14C35" w:rsidP="00B14C35">
      <w:pPr>
        <w:jc w:val="right"/>
        <w:rPr>
          <w:sz w:val="24"/>
          <w:szCs w:val="24"/>
        </w:rPr>
      </w:pPr>
      <w:r w:rsidRPr="00FE22BE">
        <w:rPr>
          <w:rFonts w:hint="eastAsia"/>
          <w:sz w:val="24"/>
          <w:szCs w:val="24"/>
        </w:rPr>
        <w:t>淳厚</w:t>
      </w:r>
      <w:r w:rsidR="007865A1" w:rsidRPr="00FE22BE">
        <w:rPr>
          <w:rFonts w:hint="eastAsia"/>
          <w:sz w:val="24"/>
          <w:szCs w:val="24"/>
        </w:rPr>
        <w:t>基金管理有限公司</w:t>
      </w:r>
    </w:p>
    <w:p w:rsidR="007865A1" w:rsidRPr="00FE22BE" w:rsidRDefault="007865A1" w:rsidP="007865A1">
      <w:pPr>
        <w:jc w:val="left"/>
        <w:rPr>
          <w:sz w:val="24"/>
          <w:szCs w:val="24"/>
        </w:rPr>
      </w:pPr>
    </w:p>
    <w:p w:rsidR="007865A1" w:rsidRPr="00FE22BE" w:rsidRDefault="006E0033" w:rsidP="00B14C35">
      <w:pPr>
        <w:jc w:val="right"/>
        <w:rPr>
          <w:sz w:val="24"/>
          <w:szCs w:val="24"/>
        </w:rPr>
      </w:pPr>
      <w:r>
        <w:rPr>
          <w:rFonts w:hint="eastAsia"/>
          <w:sz w:val="24"/>
          <w:szCs w:val="24"/>
        </w:rPr>
        <w:t>202</w:t>
      </w:r>
      <w:r w:rsidR="000705E6">
        <w:rPr>
          <w:sz w:val="24"/>
          <w:szCs w:val="24"/>
        </w:rPr>
        <w:t>5</w:t>
      </w:r>
      <w:r w:rsidR="007865A1" w:rsidRPr="00FE22BE">
        <w:rPr>
          <w:rFonts w:hint="eastAsia"/>
          <w:sz w:val="24"/>
          <w:szCs w:val="24"/>
        </w:rPr>
        <w:t>年</w:t>
      </w:r>
      <w:r w:rsidR="00C30FEC">
        <w:rPr>
          <w:sz w:val="24"/>
          <w:szCs w:val="24"/>
        </w:rPr>
        <w:t>12</w:t>
      </w:r>
      <w:r w:rsidR="007865A1" w:rsidRPr="00FE22BE">
        <w:rPr>
          <w:rFonts w:hint="eastAsia"/>
          <w:sz w:val="24"/>
          <w:szCs w:val="24"/>
        </w:rPr>
        <w:t>月</w:t>
      </w:r>
      <w:r w:rsidR="000705E6">
        <w:rPr>
          <w:sz w:val="24"/>
          <w:szCs w:val="24"/>
        </w:rPr>
        <w:t>26</w:t>
      </w:r>
      <w:r w:rsidR="007865A1" w:rsidRPr="00FE22BE">
        <w:rPr>
          <w:rFonts w:hint="eastAsia"/>
          <w:sz w:val="24"/>
          <w:szCs w:val="24"/>
        </w:rPr>
        <w:t>日</w:t>
      </w:r>
    </w:p>
    <w:sectPr w:rsidR="007865A1" w:rsidRPr="00FE22BE" w:rsidSect="00D707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C41" w:rsidRDefault="001D5C41" w:rsidP="00FE22BE">
      <w:r>
        <w:separator/>
      </w:r>
    </w:p>
  </w:endnote>
  <w:endnote w:type="continuationSeparator" w:id="0">
    <w:p w:rsidR="001D5C41" w:rsidRDefault="001D5C41" w:rsidP="00FE22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C41" w:rsidRDefault="001D5C41" w:rsidP="00FE22BE">
      <w:r>
        <w:separator/>
      </w:r>
    </w:p>
  </w:footnote>
  <w:footnote w:type="continuationSeparator" w:id="0">
    <w:p w:rsidR="001D5C41" w:rsidRDefault="001D5C41" w:rsidP="00FE22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65A1"/>
    <w:rsid w:val="00021C26"/>
    <w:rsid w:val="00030187"/>
    <w:rsid w:val="000705E6"/>
    <w:rsid w:val="000B2C27"/>
    <w:rsid w:val="000F7055"/>
    <w:rsid w:val="0012248B"/>
    <w:rsid w:val="001C0FBF"/>
    <w:rsid w:val="001D5C41"/>
    <w:rsid w:val="00220290"/>
    <w:rsid w:val="00284B8F"/>
    <w:rsid w:val="002A4A71"/>
    <w:rsid w:val="002C599C"/>
    <w:rsid w:val="00357492"/>
    <w:rsid w:val="004538C4"/>
    <w:rsid w:val="004B58CA"/>
    <w:rsid w:val="004C5240"/>
    <w:rsid w:val="004C5A38"/>
    <w:rsid w:val="005142B9"/>
    <w:rsid w:val="005D524D"/>
    <w:rsid w:val="00636300"/>
    <w:rsid w:val="00674FF6"/>
    <w:rsid w:val="006777CB"/>
    <w:rsid w:val="006B005F"/>
    <w:rsid w:val="006B75E8"/>
    <w:rsid w:val="006E0033"/>
    <w:rsid w:val="00733829"/>
    <w:rsid w:val="0075210C"/>
    <w:rsid w:val="007865A1"/>
    <w:rsid w:val="00797356"/>
    <w:rsid w:val="007F6F33"/>
    <w:rsid w:val="008A5B67"/>
    <w:rsid w:val="008D6386"/>
    <w:rsid w:val="008F274A"/>
    <w:rsid w:val="009833B5"/>
    <w:rsid w:val="00994B25"/>
    <w:rsid w:val="009B2F5C"/>
    <w:rsid w:val="00A15B15"/>
    <w:rsid w:val="00A80A9C"/>
    <w:rsid w:val="00AD2D85"/>
    <w:rsid w:val="00AF686A"/>
    <w:rsid w:val="00B137FF"/>
    <w:rsid w:val="00B14C35"/>
    <w:rsid w:val="00B83543"/>
    <w:rsid w:val="00B90FBB"/>
    <w:rsid w:val="00BD6D0B"/>
    <w:rsid w:val="00C00EA0"/>
    <w:rsid w:val="00C1060A"/>
    <w:rsid w:val="00C15859"/>
    <w:rsid w:val="00C30FEC"/>
    <w:rsid w:val="00C57CE9"/>
    <w:rsid w:val="00D707FA"/>
    <w:rsid w:val="00D75E34"/>
    <w:rsid w:val="00DA684B"/>
    <w:rsid w:val="00DC275B"/>
    <w:rsid w:val="00E2125C"/>
    <w:rsid w:val="00E34A62"/>
    <w:rsid w:val="00ED0934"/>
    <w:rsid w:val="00F80034"/>
    <w:rsid w:val="00FE22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7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65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FE22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E22BE"/>
    <w:rPr>
      <w:sz w:val="18"/>
      <w:szCs w:val="18"/>
    </w:rPr>
  </w:style>
  <w:style w:type="paragraph" w:styleId="a5">
    <w:name w:val="footer"/>
    <w:basedOn w:val="a"/>
    <w:link w:val="Char0"/>
    <w:uiPriority w:val="99"/>
    <w:unhideWhenUsed/>
    <w:rsid w:val="00FE22BE"/>
    <w:pPr>
      <w:tabs>
        <w:tab w:val="center" w:pos="4153"/>
        <w:tab w:val="right" w:pos="8306"/>
      </w:tabs>
      <w:snapToGrid w:val="0"/>
      <w:jc w:val="left"/>
    </w:pPr>
    <w:rPr>
      <w:sz w:val="18"/>
      <w:szCs w:val="18"/>
    </w:rPr>
  </w:style>
  <w:style w:type="character" w:customStyle="1" w:styleId="Char0">
    <w:name w:val="页脚 Char"/>
    <w:basedOn w:val="a0"/>
    <w:link w:val="a5"/>
    <w:uiPriority w:val="99"/>
    <w:rsid w:val="00FE22BE"/>
    <w:rPr>
      <w:sz w:val="18"/>
      <w:szCs w:val="18"/>
    </w:rPr>
  </w:style>
</w:styles>
</file>

<file path=word/webSettings.xml><?xml version="1.0" encoding="utf-8"?>
<w:webSettings xmlns:r="http://schemas.openxmlformats.org/officeDocument/2006/relationships" xmlns:w="http://schemas.openxmlformats.org/wordprocessingml/2006/main">
  <w:divs>
    <w:div w:id="181869051">
      <w:bodyDiv w:val="1"/>
      <w:marLeft w:val="0"/>
      <w:marRight w:val="0"/>
      <w:marTop w:val="0"/>
      <w:marBottom w:val="0"/>
      <w:divBdr>
        <w:top w:val="none" w:sz="0" w:space="0" w:color="auto"/>
        <w:left w:val="none" w:sz="0" w:space="0" w:color="auto"/>
        <w:bottom w:val="none" w:sz="0" w:space="0" w:color="auto"/>
        <w:right w:val="none" w:sz="0" w:space="0" w:color="auto"/>
      </w:divBdr>
    </w:div>
    <w:div w:id="187885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660</Characters>
  <Application>Microsoft Office Word</Application>
  <DocSecurity>4</DocSecurity>
  <Lines>5</Lines>
  <Paragraphs>1</Paragraphs>
  <ScaleCrop>false</ScaleCrop>
  <Company>Microsoft</Company>
  <LinksUpToDate>false</LinksUpToDate>
  <CharactersWithSpaces>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dingyun 丁韵</dc:creator>
  <cp:keywords/>
  <dc:description/>
  <cp:lastModifiedBy>ZHONGM</cp:lastModifiedBy>
  <cp:revision>2</cp:revision>
  <dcterms:created xsi:type="dcterms:W3CDTF">2025-12-25T16:01:00Z</dcterms:created>
  <dcterms:modified xsi:type="dcterms:W3CDTF">2025-12-25T16:01:00Z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GFID">
    <vt:lpwstr>[DocID]=FC928142-1710-4536-B27E-0B696FC8058F</vt:lpwstr>
  </property>
  <property fmtid="{D5CDD505-2E9C-101B-9397-08002B2CF9AE}" pid="3" name="_IPGFLOW_P-C6FA_E-1_FP-1_SP-1_CV-5C7656AD_CN-7BFF3EE3">
    <vt:lpwstr>XTEbCHwgR03E43IjJyXky7GZBbmp5YxAo3qgMmEXcSwH4R22hxr0HPoz0lKzw5afytXc9AOt9xhEOg90Z8njYoUWxBRLctroengsRq7Xnaq2GY4bTyLPjT/U2P5ssUgXWBw/8BUJCin4urHuk2J6D6ACqSyPQWBVldgvtpoF8+3iLtm6W3f9e7ir+DoxkQfDEjB3mOeyfPU7BpscuREQKARhndQcOeJN5cL4udXWdO8zQDEqU7x0Jjx2107vxMa</vt:lpwstr>
  </property>
  <property fmtid="{D5CDD505-2E9C-101B-9397-08002B2CF9AE}" pid="4" name="_IPGFLOW_P-C6FA_E-1_FP-1_SP-2_CV-640C52D7_CN-FE309873">
    <vt:lpwstr>gXTywJhaOjhJpb0chOj3wTF8WBoLzaAH9SehKP3HuZuOsmIwZZ1tOdHsHj/AhDrzXhF5lRHvp5zTWk1LlrG4OfOMpQCvQ2eBhhAidE3lHPtI/gpR4PTt/c57Zp3m1/DLv</vt:lpwstr>
  </property>
  <property fmtid="{D5CDD505-2E9C-101B-9397-08002B2CF9AE}" pid="5" name="_IPGFLOW_P-C6FA_E-0_FP-1_CV-1748F583_CN-E9E611C9">
    <vt:lpwstr>DPSPMK|3|384|2|0</vt:lpwstr>
  </property>
  <property fmtid="{D5CDD505-2E9C-101B-9397-08002B2CF9AE}" pid="6" name="_IPGFLOW_P-C6FA_E-1_FP-2_SP-1_CV-7A2A1D32_CN-2384BCAD">
    <vt:lpwstr>XTEbCHwgR03E43IjJyXky672Do88eRFdqnh4rxkYKpKX31j2ZgjSVqgF6z1y3zwBpkFSCqQlTFkBTiTjUqwZq/syscevTocePuVl044qWEyJ7lcMTWe4ghUmTnCH/0tMGp0QG0xawJmAvglMEa/VRg3MBvw+FQw4ZLN+Z9+z63FDWonadZgGC+z4ol0Ctp7jJ2Gbo3h9f65VVGKZGmkNROaMQ5P4IhsWvyuG4lFl8iDc7OXI4JtWTxn0McDKpLK</vt:lpwstr>
  </property>
  <property fmtid="{D5CDD505-2E9C-101B-9397-08002B2CF9AE}" pid="7" name="_IPGFLOW_P-C6FA_E-1_FP-2_SP-2_CV-54018DFC_CN-DE63EAC5">
    <vt:lpwstr>Y3xqkdcLBtlJQepb4Oi4OhrOYtoLNNy3YER900/r40w+pUAyNA9Bagkz6LAnTEutt7+4kK3lgTGpL0jAenGnU6PV5wiySee3QaKLzb0Uihmcjez55erjoEXPDzaDbKvrb</vt:lpwstr>
  </property>
  <property fmtid="{D5CDD505-2E9C-101B-9397-08002B2CF9AE}" pid="8" name="_IPGFLOW_P-C6FA_E-0_FP-2_CV-1748F583_CN-542C7D07">
    <vt:lpwstr>DPSPMK|3|384|2|0</vt:lpwstr>
  </property>
  <property fmtid="{D5CDD505-2E9C-101B-9397-08002B2CF9AE}" pid="9" name="_IPGFLOW_P-C6FA_E-0_CV-8BD6D882_CN-6EB2F33D">
    <vt:lpwstr>DPFPMK|3|50|3|0</vt:lpwstr>
  </property>
  <property fmtid="{D5CDD505-2E9C-101B-9397-08002B2CF9AE}" pid="10" name="_IPGFLOW_P-C6FA_E-1_FP-3_SP-1_CV-1F90A3B7_CN-1DA46688">
    <vt:lpwstr>XTEbCHwgR03E43IjJyXky966PIj7qMWheG6CDrLIdvu42FWeUuzEsO/yDkuT+MugF3x4ZHV9zXTv7dAsm880Ix9RwBvnZmL/NAQz27lm8NLYN7OoZ/DilXlGY4CyrGcpxlSnK/cVV96OnARmk+djTcVmS+Xxt5BHBzn+YSAyfq70KP65dq0lqpLHxQfWlFxM4wxZJlQzrXM/p03uCMpyJRJDi16py9PSsE9R7RgRbEekP87PqtDTLuwSdh698jG</vt:lpwstr>
  </property>
  <property fmtid="{D5CDD505-2E9C-101B-9397-08002B2CF9AE}" pid="11" name="_IPGFLOW_P-C6FA_E-1_FP-3_SP-2_CV-A00144D6_CN-E11AD784">
    <vt:lpwstr>sGBdKysj2WCpfsQAoWxs9t+zpGR8Z5bVm0k8PgZuTU7wuDfYWCI49LlU6evsW67OOSsoJlFxQO5AzXBBwRhbpQiLFLHB4x3jvXYiWSBh2WH8nZFn9SP/rzfX2lflv7d7R</vt:lpwstr>
  </property>
  <property fmtid="{D5CDD505-2E9C-101B-9397-08002B2CF9AE}" pid="12" name="_IPGFLOW_P-C6FA_E-0_FP-3_CV-1748F583_CN-89BAA482">
    <vt:lpwstr>DPSPMK|3|384|2|0</vt:lpwstr>
  </property>
</Properties>
</file>