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FE" w:rsidRDefault="00EB43D2">
      <w:pPr>
        <w:spacing w:after="161"/>
        <w:ind w:left="0" w:firstLine="0"/>
      </w:pPr>
      <w:r>
        <w:rPr>
          <w:rFonts w:ascii="宋体" w:eastAsia="宋体" w:hAnsi="宋体" w:cs="宋体"/>
          <w:sz w:val="24"/>
        </w:rPr>
        <w:t xml:space="preserve"> </w:t>
      </w:r>
    </w:p>
    <w:p w:rsidR="00B35EFE" w:rsidRDefault="00EB43D2">
      <w:pPr>
        <w:spacing w:after="176"/>
        <w:ind w:left="-5"/>
      </w:pPr>
      <w:r>
        <w:rPr>
          <w:rFonts w:ascii="宋体" w:eastAsia="宋体" w:hAnsi="宋体" w:cs="宋体"/>
          <w:sz w:val="24"/>
        </w:rPr>
        <w:t xml:space="preserve"> </w:t>
      </w:r>
      <w:r>
        <w:t>太平基金管理有限公司调整长期停牌股票估值方法的公告</w:t>
      </w:r>
      <w:r>
        <w:t xml:space="preserve"> </w:t>
      </w:r>
    </w:p>
    <w:p w:rsidR="00B35EFE" w:rsidRDefault="00EB43D2">
      <w:pPr>
        <w:spacing w:after="175"/>
        <w:ind w:left="0" w:firstLine="0"/>
      </w:pPr>
      <w:r>
        <w:t xml:space="preserve"> </w:t>
      </w:r>
    </w:p>
    <w:p w:rsidR="00B35EFE" w:rsidRDefault="00EB43D2" w:rsidP="00791829">
      <w:pPr>
        <w:spacing w:line="361" w:lineRule="auto"/>
        <w:ind w:left="-15" w:firstLine="641"/>
      </w:pPr>
      <w:r>
        <w:t>根据《中国证券监督管理委员会关于证券投资基金估值业务的指导意见》（证监会公告</w:t>
      </w:r>
      <w:r>
        <w:t>[2017]13</w:t>
      </w:r>
      <w:r>
        <w:t>号）以及中国证券投资基金业协会《关于发布中基协（</w:t>
      </w:r>
      <w:r>
        <w:t>AMAC</w:t>
      </w:r>
      <w:r>
        <w:t>）基金行业股票估值指数的通知》（中基协发</w:t>
      </w:r>
      <w:r>
        <w:t>[2013]13</w:t>
      </w:r>
      <w:r>
        <w:t>号）的原则和有关要求，太平基金管理有限公司（以下简称本公司）与托管银行商定，决定对本公司旗下基金持有的</w:t>
      </w:r>
      <w:r>
        <w:t>“</w:t>
      </w:r>
      <w:r w:rsidR="004F7AE9">
        <w:rPr>
          <w:rFonts w:hint="eastAsia"/>
        </w:rPr>
        <w:t>中</w:t>
      </w:r>
      <w:r w:rsidR="00E2527F">
        <w:rPr>
          <w:rFonts w:hint="eastAsia"/>
        </w:rPr>
        <w:t>微公司</w:t>
      </w:r>
      <w:r>
        <w:t>”</w:t>
      </w:r>
      <w:r>
        <w:t>（证券代码：</w:t>
      </w:r>
      <w:r w:rsidR="00AC2788">
        <w:rPr>
          <w:rFonts w:hint="eastAsia"/>
        </w:rPr>
        <w:t>688</w:t>
      </w:r>
      <w:r w:rsidR="00E2527F">
        <w:rPr>
          <w:rFonts w:hint="eastAsia"/>
        </w:rPr>
        <w:t>012</w:t>
      </w:r>
      <w:r>
        <w:t>）股票进行估值调整，自</w:t>
      </w:r>
      <w:r>
        <w:t>202</w:t>
      </w:r>
      <w:r w:rsidR="00AC2788">
        <w:rPr>
          <w:rFonts w:hint="eastAsia"/>
        </w:rPr>
        <w:t>5</w:t>
      </w:r>
      <w:r>
        <w:t>年</w:t>
      </w:r>
      <w:r w:rsidR="00E2527F">
        <w:rPr>
          <w:rFonts w:hint="eastAsia"/>
        </w:rPr>
        <w:t>12</w:t>
      </w:r>
      <w:r>
        <w:t>月</w:t>
      </w:r>
      <w:r w:rsidR="00E2527F">
        <w:rPr>
          <w:rFonts w:hint="eastAsia"/>
        </w:rPr>
        <w:t>2</w:t>
      </w:r>
      <w:r w:rsidR="004F7AE9">
        <w:rPr>
          <w:rFonts w:hint="eastAsia"/>
        </w:rPr>
        <w:t>4</w:t>
      </w:r>
      <w:r>
        <w:t>日起按指数收益法进行估值。</w:t>
      </w:r>
      <w:r>
        <w:t xml:space="preserve"> </w:t>
      </w:r>
    </w:p>
    <w:p w:rsidR="00B35EFE" w:rsidRDefault="00EB43D2">
      <w:pPr>
        <w:spacing w:line="361" w:lineRule="auto"/>
        <w:ind w:left="-15" w:firstLine="641"/>
      </w:pPr>
      <w:r>
        <w:t>待该股票的交易体现出活跃市场交易特征后，将恢复为采用当日收盘价格进行估值，届时将不再另行公告。</w:t>
      </w:r>
      <w:r>
        <w:t xml:space="preserve"> </w:t>
      </w:r>
    </w:p>
    <w:p w:rsidR="00B35EFE" w:rsidRDefault="00EB43D2">
      <w:pPr>
        <w:spacing w:after="175"/>
        <w:ind w:left="651"/>
      </w:pPr>
      <w:r>
        <w:t>特此公告。</w:t>
      </w:r>
      <w:r>
        <w:t xml:space="preserve"> </w:t>
      </w:r>
    </w:p>
    <w:p w:rsidR="00B35EFE" w:rsidRDefault="00EB43D2">
      <w:pPr>
        <w:spacing w:line="361" w:lineRule="auto"/>
        <w:ind w:left="4801" w:right="3200" w:firstLine="0"/>
        <w:jc w:val="center"/>
      </w:pPr>
      <w:r>
        <w:t xml:space="preserve">  </w:t>
      </w:r>
    </w:p>
    <w:p w:rsidR="00B35EFE" w:rsidRDefault="00EB43D2">
      <w:pPr>
        <w:spacing w:after="175"/>
        <w:ind w:left="0" w:right="163" w:firstLine="0"/>
        <w:jc w:val="right"/>
      </w:pPr>
      <w:r>
        <w:t>太平基金管理有限公司</w:t>
      </w:r>
      <w:r>
        <w:t xml:space="preserve"> </w:t>
      </w:r>
    </w:p>
    <w:p w:rsidR="00B35EFE" w:rsidRDefault="00EB43D2" w:rsidP="00022494">
      <w:pPr>
        <w:ind w:left="0" w:right="241" w:firstLine="0"/>
        <w:jc w:val="right"/>
      </w:pPr>
      <w:r>
        <w:t>202</w:t>
      </w:r>
      <w:r w:rsidR="00AC2788">
        <w:rPr>
          <w:rFonts w:hint="eastAsia"/>
        </w:rPr>
        <w:t>5</w:t>
      </w:r>
      <w:r>
        <w:t>年</w:t>
      </w:r>
      <w:r w:rsidR="00E2527F">
        <w:rPr>
          <w:rFonts w:hint="eastAsia"/>
        </w:rPr>
        <w:t>12</w:t>
      </w:r>
      <w:r>
        <w:t>月</w:t>
      </w:r>
      <w:r w:rsidR="00E2527F">
        <w:rPr>
          <w:rFonts w:hint="eastAsia"/>
        </w:rPr>
        <w:t>2</w:t>
      </w:r>
      <w:r w:rsidR="004F7AE9">
        <w:rPr>
          <w:rFonts w:hint="eastAsia"/>
        </w:rPr>
        <w:t>4</w:t>
      </w:r>
      <w:r>
        <w:t>日</w:t>
      </w:r>
      <w:r>
        <w:t xml:space="preserve"> </w:t>
      </w:r>
    </w:p>
    <w:sectPr w:rsidR="00B35EFE" w:rsidSect="005366E2">
      <w:pgSz w:w="11906" w:h="16838"/>
      <w:pgMar w:top="1440" w:right="1946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085" w:rsidRDefault="00F37085" w:rsidP="00791829">
      <w:pPr>
        <w:spacing w:line="240" w:lineRule="auto"/>
      </w:pPr>
      <w:r>
        <w:separator/>
      </w:r>
    </w:p>
  </w:endnote>
  <w:endnote w:type="continuationSeparator" w:id="0">
    <w:p w:rsidR="00F37085" w:rsidRDefault="00F37085" w:rsidP="00791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085" w:rsidRDefault="00F37085" w:rsidP="00791829">
      <w:pPr>
        <w:spacing w:line="240" w:lineRule="auto"/>
      </w:pPr>
      <w:r>
        <w:separator/>
      </w:r>
    </w:p>
  </w:footnote>
  <w:footnote w:type="continuationSeparator" w:id="0">
    <w:p w:rsidR="00F37085" w:rsidRDefault="00F37085" w:rsidP="007918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35EFE"/>
    <w:rsid w:val="00022494"/>
    <w:rsid w:val="001E0803"/>
    <w:rsid w:val="003D310C"/>
    <w:rsid w:val="004E1FD8"/>
    <w:rsid w:val="004F7AE9"/>
    <w:rsid w:val="005366E2"/>
    <w:rsid w:val="00654E71"/>
    <w:rsid w:val="00791829"/>
    <w:rsid w:val="009D38CC"/>
    <w:rsid w:val="00AC2788"/>
    <w:rsid w:val="00B35EFE"/>
    <w:rsid w:val="00B43510"/>
    <w:rsid w:val="00D5791B"/>
    <w:rsid w:val="00E2527F"/>
    <w:rsid w:val="00EB43D2"/>
    <w:rsid w:val="00F3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E2"/>
    <w:pPr>
      <w:spacing w:after="0" w:line="259" w:lineRule="auto"/>
      <w:ind w:left="10" w:hanging="10"/>
    </w:pPr>
    <w:rPr>
      <w:rFonts w:ascii="仿宋" w:eastAsia="仿宋" w:hAnsi="仿宋" w:cs="仿宋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18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1829"/>
    <w:rPr>
      <w:rFonts w:ascii="仿宋" w:eastAsia="仿宋" w:hAnsi="仿宋" w:cs="仿宋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18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1829"/>
    <w:rPr>
      <w:rFonts w:ascii="仿宋" w:eastAsia="仿宋" w:hAnsi="仿宋" w:cs="仿宋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4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ZHONGM</cp:lastModifiedBy>
  <cp:revision>2</cp:revision>
  <dcterms:created xsi:type="dcterms:W3CDTF">2025-12-24T16:03:00Z</dcterms:created>
  <dcterms:modified xsi:type="dcterms:W3CDTF">2025-12-24T16:03:00Z</dcterms:modified>
</cp:coreProperties>
</file>