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7F" w:rsidRDefault="001F697F" w:rsidP="001F697F">
      <w:pPr>
        <w:jc w:val="center"/>
        <w:rPr>
          <w:rStyle w:val="a3"/>
          <w:rFonts w:ascii="宋体" w:hAnsi="宋体"/>
          <w:sz w:val="30"/>
          <w:szCs w:val="30"/>
        </w:rPr>
      </w:pPr>
      <w:r>
        <w:rPr>
          <w:rStyle w:val="a3"/>
          <w:rFonts w:ascii="宋体" w:hAnsi="宋体" w:hint="eastAsia"/>
          <w:sz w:val="30"/>
          <w:szCs w:val="30"/>
        </w:rPr>
        <w:t>华宝基金管理有限公司</w:t>
      </w:r>
      <w:r>
        <w:rPr>
          <w:rStyle w:val="a3"/>
          <w:rFonts w:ascii="宋体" w:hAnsi="宋体"/>
          <w:sz w:val="30"/>
          <w:szCs w:val="30"/>
        </w:rPr>
        <w:t>关于旗下基金持有</w:t>
      </w:r>
      <w:r>
        <w:rPr>
          <w:rStyle w:val="a3"/>
          <w:rFonts w:ascii="宋体" w:hAnsi="宋体" w:hint="eastAsia"/>
          <w:sz w:val="30"/>
          <w:szCs w:val="30"/>
        </w:rPr>
        <w:t>的股票停牌后</w:t>
      </w:r>
    </w:p>
    <w:p w:rsidR="001F697F" w:rsidRPr="00512302" w:rsidRDefault="001F697F" w:rsidP="001F697F">
      <w:pPr>
        <w:jc w:val="center"/>
        <w:rPr>
          <w:rStyle w:val="a3"/>
          <w:rFonts w:ascii="宋体" w:hAnsi="宋体"/>
          <w:sz w:val="30"/>
          <w:szCs w:val="30"/>
        </w:rPr>
      </w:pPr>
      <w:r w:rsidRPr="00512302">
        <w:rPr>
          <w:rStyle w:val="a3"/>
          <w:rFonts w:ascii="宋体" w:hAnsi="宋体"/>
          <w:sz w:val="30"/>
          <w:szCs w:val="30"/>
        </w:rPr>
        <w:t>估值方法调整的公告</w:t>
      </w:r>
    </w:p>
    <w:p w:rsidR="001F697F" w:rsidRDefault="001F697F" w:rsidP="001F697F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Default="001F697F" w:rsidP="001F697F">
      <w:pPr>
        <w:widowControl/>
        <w:ind w:firstLineChars="200" w:firstLine="440"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Pr="001F697F" w:rsidRDefault="001F697F" w:rsidP="00334EC0">
      <w:pPr>
        <w:widowControl/>
        <w:ind w:firstLineChars="200" w:firstLine="440"/>
        <w:rPr>
          <w:rFonts w:ascii="宋体" w:eastAsia="宋体" w:hAnsi="宋体" w:cs="宋体"/>
          <w:color w:val="000000"/>
          <w:kern w:val="0"/>
          <w:sz w:val="22"/>
        </w:rPr>
      </w:pPr>
      <w:r w:rsidRPr="001F697F">
        <w:rPr>
          <w:rFonts w:ascii="宋体" w:eastAsia="宋体" w:hAnsi="宋体" w:cs="宋体"/>
          <w:color w:val="000000"/>
          <w:kern w:val="0"/>
          <w:sz w:val="22"/>
        </w:rPr>
        <w:t>根据中国证监会</w:t>
      </w:r>
      <w:r w:rsidR="00334EC0" w:rsidRPr="001F697F">
        <w:rPr>
          <w:rFonts w:ascii="宋体" w:eastAsia="宋体" w:hAnsi="宋体" w:cs="宋体"/>
          <w:color w:val="000000"/>
          <w:kern w:val="0"/>
          <w:sz w:val="22"/>
        </w:rPr>
        <w:t xml:space="preserve"> </w:t>
      </w:r>
      <w:r w:rsidR="00E0082A">
        <w:rPr>
          <w:rFonts w:ascii="宋体" w:eastAsia="宋体" w:hAnsi="宋体" w:cs="宋体"/>
          <w:color w:val="000000"/>
          <w:kern w:val="0"/>
          <w:sz w:val="22"/>
        </w:rPr>
        <w:t>[2017]13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号《中国证监会关于证券投资基金估值业务的指导意见》、中国证券投资基金业协会《关于发布中基协（AMAC）基金行业股票估值指数的通知》及</w:t>
      </w:r>
      <w:r>
        <w:rPr>
          <w:rFonts w:ascii="宋体" w:eastAsia="宋体" w:hAnsi="宋体" w:cs="宋体"/>
          <w:color w:val="000000"/>
          <w:kern w:val="0"/>
          <w:sz w:val="22"/>
        </w:rPr>
        <w:t>华宝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基金管理有限公司（以下简称“本公司</w:t>
      </w:r>
      <w:r w:rsidR="00E0082A">
        <w:rPr>
          <w:rFonts w:ascii="宋体" w:eastAsia="宋体" w:hAnsi="宋体" w:cs="宋体"/>
          <w:color w:val="000000"/>
          <w:kern w:val="0"/>
          <w:sz w:val="22"/>
        </w:rPr>
        <w:t>”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）</w:t>
      </w:r>
      <w:r w:rsidR="00334EC0" w:rsidRPr="00334EC0">
        <w:rPr>
          <w:rFonts w:ascii="宋体" w:eastAsia="宋体" w:hAnsi="宋体" w:cs="宋体" w:hint="eastAsia"/>
          <w:color w:val="000000"/>
          <w:kern w:val="0"/>
          <w:sz w:val="22"/>
        </w:rPr>
        <w:t>长期停牌股票的估值政策和程序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，</w:t>
      </w:r>
      <w:r w:rsidR="00F11436" w:rsidRPr="00F11436">
        <w:rPr>
          <w:rFonts w:ascii="宋体" w:eastAsia="宋体" w:hAnsi="宋体" w:cs="宋体" w:hint="eastAsia"/>
          <w:color w:val="000000"/>
          <w:kern w:val="0"/>
          <w:sz w:val="22"/>
        </w:rPr>
        <w:t>为确保本公司旗下基金持有的长期停牌股票的估值更加公平、合理</w:t>
      </w:r>
      <w:r w:rsidR="00F11436">
        <w:rPr>
          <w:rFonts w:ascii="宋体" w:eastAsia="宋体" w:hAnsi="宋体" w:cs="宋体" w:hint="eastAsia"/>
          <w:color w:val="000000"/>
          <w:kern w:val="0"/>
          <w:sz w:val="22"/>
        </w:rPr>
        <w:t>，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经与相关托管银行协商一致，决定于 </w:t>
      </w:r>
      <w:r w:rsidR="00F64EB8">
        <w:rPr>
          <w:rFonts w:ascii="宋体" w:eastAsia="宋体" w:hAnsi="宋体" w:cs="宋体"/>
          <w:color w:val="000000"/>
          <w:kern w:val="0"/>
          <w:sz w:val="22"/>
        </w:rPr>
        <w:t>2025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 年</w:t>
      </w:r>
      <w:r w:rsidR="006F3521">
        <w:rPr>
          <w:rFonts w:ascii="宋体" w:eastAsia="宋体" w:hAnsi="宋体" w:cs="宋体"/>
          <w:color w:val="000000"/>
          <w:kern w:val="0"/>
          <w:sz w:val="22"/>
        </w:rPr>
        <w:t xml:space="preserve"> 12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 月</w:t>
      </w:r>
      <w:r w:rsidR="006F3521">
        <w:rPr>
          <w:rFonts w:ascii="宋体" w:eastAsia="宋体" w:hAnsi="宋体" w:cs="宋体"/>
          <w:color w:val="000000"/>
          <w:kern w:val="0"/>
          <w:sz w:val="22"/>
        </w:rPr>
        <w:t xml:space="preserve"> 24</w:t>
      </w:r>
      <w:bookmarkStart w:id="0" w:name="_GoBack"/>
      <w:bookmarkEnd w:id="0"/>
      <w:r w:rsidRPr="001F697F">
        <w:rPr>
          <w:rFonts w:ascii="宋体" w:eastAsia="宋体" w:hAnsi="宋体" w:cs="宋体"/>
          <w:color w:val="000000"/>
          <w:kern w:val="0"/>
          <w:sz w:val="22"/>
        </w:rPr>
        <w:t xml:space="preserve"> 日起对本公司旗下基金（</w:t>
      </w:r>
      <w:r w:rsidR="00334EC0" w:rsidRPr="00334EC0">
        <w:rPr>
          <w:rFonts w:ascii="宋体" w:eastAsia="宋体" w:hAnsi="宋体" w:cs="宋体" w:hint="eastAsia"/>
          <w:color w:val="000000"/>
          <w:kern w:val="0"/>
          <w:sz w:val="22"/>
        </w:rPr>
        <w:t>交易型开放式指数证券投资基金除外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）所持有的以下停牌股票采用“指数收益法</w:t>
      </w:r>
      <w:r w:rsidR="00E0082A">
        <w:rPr>
          <w:rFonts w:ascii="宋体" w:eastAsia="宋体" w:hAnsi="宋体" w:cs="宋体"/>
          <w:color w:val="000000"/>
          <w:kern w:val="0"/>
          <w:sz w:val="22"/>
        </w:rPr>
        <w:t>”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进行估值。</w:t>
      </w:r>
      <w:r w:rsidR="00DE4B81">
        <w:rPr>
          <w:rFonts w:ascii="宋体" w:eastAsia="宋体" w:hAnsi="宋体" w:cs="宋体" w:hint="eastAsia"/>
          <w:color w:val="000000"/>
          <w:kern w:val="0"/>
          <w:sz w:val="22"/>
        </w:rPr>
        <w:t>停牌期间，本公司将与相关</w:t>
      </w:r>
      <w:r w:rsidR="00DE4B81" w:rsidRPr="00DE4B81">
        <w:rPr>
          <w:rFonts w:ascii="宋体" w:eastAsia="宋体" w:hAnsi="宋体" w:cs="宋体" w:hint="eastAsia"/>
          <w:color w:val="000000"/>
          <w:kern w:val="0"/>
          <w:sz w:val="22"/>
        </w:rPr>
        <w:t>上市公司保持密切沟通，切实保护基金持有人利益。</w:t>
      </w:r>
      <w:r w:rsidRPr="001F697F">
        <w:rPr>
          <w:rFonts w:ascii="宋体" w:eastAsia="宋体" w:hAnsi="宋体" w:cs="宋体"/>
          <w:color w:val="000000"/>
          <w:kern w:val="0"/>
          <w:sz w:val="22"/>
        </w:rPr>
        <w:t>待以下停牌股票复牌且其交易体现了活跃市场交易特征之日起，恢</w:t>
      </w:r>
      <w:r w:rsidR="00334EC0">
        <w:rPr>
          <w:rFonts w:ascii="宋体" w:eastAsia="宋体" w:hAnsi="宋体" w:cs="宋体"/>
          <w:color w:val="000000"/>
          <w:kern w:val="0"/>
          <w:sz w:val="22"/>
        </w:rPr>
        <w:t>复采用当日收盘价进行估值，届时不再另行公告。敬请投资者予以关注</w:t>
      </w:r>
      <w:r w:rsidR="00334EC0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p w:rsid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F697F">
        <w:rPr>
          <w:rFonts w:ascii="宋体" w:eastAsia="宋体" w:hAnsi="宋体" w:cs="宋体"/>
          <w:color w:val="000000"/>
          <w:kern w:val="0"/>
          <w:sz w:val="22"/>
        </w:rPr>
        <w:t>停牌股票明细</w:t>
      </w:r>
      <w:r w:rsidR="00334EC0">
        <w:rPr>
          <w:rFonts w:ascii="宋体" w:eastAsia="宋体" w:hAnsi="宋体" w:cs="宋体"/>
          <w:color w:val="000000"/>
          <w:kern w:val="0"/>
          <w:sz w:val="22"/>
        </w:rPr>
        <w:t>：</w:t>
      </w:r>
    </w:p>
    <w:p w:rsidR="001F697F" w:rsidRPr="001F697F" w:rsidRDefault="001F697F" w:rsidP="001F697F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tbl>
      <w:tblPr>
        <w:tblW w:w="8080" w:type="dxa"/>
        <w:tblInd w:w="-5" w:type="dxa"/>
        <w:tblLook w:val="04A0"/>
      </w:tblPr>
      <w:tblGrid>
        <w:gridCol w:w="2694"/>
        <w:gridCol w:w="5386"/>
      </w:tblGrid>
      <w:tr w:rsidR="001F697F" w:rsidRPr="001F697F" w:rsidTr="001F697F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1F697F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股票代码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1F697F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F697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股票名称</w:t>
            </w:r>
          </w:p>
        </w:tc>
      </w:tr>
      <w:tr w:rsidR="001F697F" w:rsidRPr="001F697F" w:rsidTr="001F697F">
        <w:trPr>
          <w:trHeight w:val="28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F64EB8" w:rsidP="002C6A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EB8">
              <w:rPr>
                <w:rFonts w:ascii="宋体" w:eastAsia="宋体" w:hAnsi="宋体" w:cs="宋体"/>
                <w:color w:val="000000"/>
                <w:kern w:val="0"/>
                <w:sz w:val="22"/>
              </w:rPr>
              <w:t>688</w:t>
            </w:r>
            <w:r w:rsidR="002C6A9B">
              <w:rPr>
                <w:rFonts w:ascii="宋体" w:eastAsia="宋体" w:hAnsi="宋体" w:cs="宋体"/>
                <w:color w:val="000000"/>
                <w:kern w:val="0"/>
                <w:sz w:val="22"/>
              </w:rPr>
              <w:t>012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7F" w:rsidRPr="001F697F" w:rsidRDefault="002C6A9B" w:rsidP="001F69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C6A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中微公司</w:t>
            </w:r>
          </w:p>
        </w:tc>
      </w:tr>
    </w:tbl>
    <w:p w:rsidR="006971FA" w:rsidRDefault="006971FA"/>
    <w:p w:rsidR="001F697F" w:rsidRPr="00512302" w:rsidRDefault="001F697F" w:rsidP="001F697F">
      <w:pPr>
        <w:pStyle w:val="a4"/>
        <w:spacing w:line="480" w:lineRule="auto"/>
      </w:pPr>
      <w:r w:rsidRPr="00512302">
        <w:t>特此公告。</w:t>
      </w:r>
    </w:p>
    <w:p w:rsidR="001F697F" w:rsidRPr="00512302" w:rsidRDefault="001F697F" w:rsidP="001F697F">
      <w:pPr>
        <w:spacing w:line="360" w:lineRule="auto"/>
        <w:ind w:right="560"/>
        <w:rPr>
          <w:rFonts w:ascii="宋体" w:hAnsi="宋体" w:cs="宋体"/>
          <w:kern w:val="0"/>
          <w:sz w:val="24"/>
          <w:szCs w:val="24"/>
        </w:rPr>
      </w:pPr>
    </w:p>
    <w:p w:rsidR="001F697F" w:rsidRPr="00512302" w:rsidRDefault="001F697F" w:rsidP="001F697F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华宝</w:t>
      </w:r>
      <w:r w:rsidRPr="00512302">
        <w:rPr>
          <w:rFonts w:ascii="宋体" w:hAnsi="宋体" w:cs="宋体" w:hint="eastAsia"/>
          <w:kern w:val="0"/>
          <w:sz w:val="24"/>
          <w:szCs w:val="24"/>
        </w:rPr>
        <w:t>基金管理有限公司</w:t>
      </w:r>
    </w:p>
    <w:p w:rsidR="001F697F" w:rsidRPr="00512302" w:rsidRDefault="001F697F" w:rsidP="001F697F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512302">
        <w:rPr>
          <w:rFonts w:ascii="宋体" w:hAnsi="宋体" w:cs="宋体" w:hint="eastAsia"/>
          <w:kern w:val="0"/>
          <w:sz w:val="24"/>
          <w:szCs w:val="24"/>
        </w:rPr>
        <w:t>20</w:t>
      </w:r>
      <w:r>
        <w:rPr>
          <w:rFonts w:ascii="宋体" w:hAnsi="宋体" w:cs="宋体"/>
          <w:kern w:val="0"/>
          <w:sz w:val="24"/>
          <w:szCs w:val="24"/>
        </w:rPr>
        <w:t>25</w:t>
      </w:r>
      <w:r w:rsidRPr="00512302">
        <w:rPr>
          <w:rFonts w:ascii="宋体" w:hAnsi="宋体" w:cs="宋体" w:hint="eastAsia"/>
          <w:kern w:val="0"/>
          <w:sz w:val="24"/>
          <w:szCs w:val="24"/>
        </w:rPr>
        <w:t>年</w:t>
      </w:r>
      <w:r w:rsidR="002C6A9B">
        <w:rPr>
          <w:rFonts w:ascii="宋体" w:hAnsi="宋体" w:cs="宋体"/>
          <w:kern w:val="0"/>
          <w:sz w:val="24"/>
          <w:szCs w:val="24"/>
        </w:rPr>
        <w:t>12</w:t>
      </w:r>
      <w:r w:rsidR="00F64EB8">
        <w:rPr>
          <w:rFonts w:ascii="宋体" w:hAnsi="宋体" w:cs="宋体"/>
          <w:kern w:val="0"/>
          <w:sz w:val="24"/>
          <w:szCs w:val="24"/>
        </w:rPr>
        <w:t>月</w:t>
      </w:r>
      <w:r w:rsidR="00F64EB8">
        <w:rPr>
          <w:rFonts w:ascii="宋体" w:hAnsi="宋体" w:cs="宋体" w:hint="eastAsia"/>
          <w:kern w:val="0"/>
          <w:sz w:val="24"/>
          <w:szCs w:val="24"/>
        </w:rPr>
        <w:t>2</w:t>
      </w:r>
      <w:r w:rsidR="002C6A9B">
        <w:rPr>
          <w:rFonts w:ascii="宋体" w:hAnsi="宋体" w:cs="宋体"/>
          <w:kern w:val="0"/>
          <w:sz w:val="24"/>
          <w:szCs w:val="24"/>
        </w:rPr>
        <w:t>5</w:t>
      </w:r>
      <w:r w:rsidRPr="00512302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1F697F" w:rsidRDefault="001F697F"/>
    <w:sectPr w:rsidR="001F697F" w:rsidSect="00AB2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F8" w:rsidRDefault="006153F8" w:rsidP="00F11436">
      <w:r>
        <w:separator/>
      </w:r>
    </w:p>
  </w:endnote>
  <w:endnote w:type="continuationSeparator" w:id="0">
    <w:p w:rsidR="006153F8" w:rsidRDefault="006153F8" w:rsidP="00F11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F8" w:rsidRDefault="006153F8" w:rsidP="00F11436">
      <w:r>
        <w:separator/>
      </w:r>
    </w:p>
  </w:footnote>
  <w:footnote w:type="continuationSeparator" w:id="0">
    <w:p w:rsidR="006153F8" w:rsidRDefault="006153F8" w:rsidP="00F11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97F"/>
    <w:rsid w:val="0008205F"/>
    <w:rsid w:val="001F697F"/>
    <w:rsid w:val="002C6A9B"/>
    <w:rsid w:val="00334EC0"/>
    <w:rsid w:val="006153F8"/>
    <w:rsid w:val="006971FA"/>
    <w:rsid w:val="006F3521"/>
    <w:rsid w:val="008E0F69"/>
    <w:rsid w:val="00AB2C52"/>
    <w:rsid w:val="00B05A99"/>
    <w:rsid w:val="00DE4B81"/>
    <w:rsid w:val="00E0082A"/>
    <w:rsid w:val="00E2126C"/>
    <w:rsid w:val="00F11436"/>
    <w:rsid w:val="00F3382B"/>
    <w:rsid w:val="00F64EB8"/>
    <w:rsid w:val="00FB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F697F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3">
    <w:name w:val="Strong"/>
    <w:basedOn w:val="a0"/>
    <w:qFormat/>
    <w:rsid w:val="001F697F"/>
    <w:rPr>
      <w:b/>
      <w:bCs/>
    </w:rPr>
  </w:style>
  <w:style w:type="paragraph" w:styleId="a4">
    <w:name w:val="Normal (Web)"/>
    <w:basedOn w:val="a"/>
    <w:rsid w:val="001F697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1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14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14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田广</dc:creator>
  <cp:keywords/>
  <dc:description/>
  <cp:lastModifiedBy>ZHONGM</cp:lastModifiedBy>
  <cp:revision>2</cp:revision>
  <cp:lastPrinted>2025-12-24T08:57:00Z</cp:lastPrinted>
  <dcterms:created xsi:type="dcterms:W3CDTF">2025-12-24T16:01:00Z</dcterms:created>
  <dcterms:modified xsi:type="dcterms:W3CDTF">2025-12-24T16:01:00Z</dcterms:modified>
</cp:coreProperties>
</file>