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33" w:rsidRDefault="00F52971">
      <w:pPr>
        <w:jc w:val="center"/>
        <w:rPr>
          <w:rFonts w:asciiTheme="minorEastAsia" w:hAnsiTheme="minorEastAsia"/>
          <w:b/>
          <w:color w:val="FF0000"/>
          <w:sz w:val="28"/>
          <w:szCs w:val="28"/>
        </w:rPr>
      </w:pPr>
      <w:r>
        <w:rPr>
          <w:rFonts w:asciiTheme="minorEastAsia" w:hAnsiTheme="minorEastAsia" w:hint="eastAsia"/>
          <w:b/>
          <w:color w:val="FF0000"/>
          <w:sz w:val="28"/>
          <w:szCs w:val="28"/>
        </w:rPr>
        <w:t>嘉实基金管理有限公司</w:t>
      </w:r>
    </w:p>
    <w:p w:rsidR="00CB6F33" w:rsidRDefault="00F52971">
      <w:pPr>
        <w:jc w:val="center"/>
        <w:rPr>
          <w:rFonts w:asciiTheme="minorEastAsia" w:hAnsiTheme="minorEastAsia"/>
          <w:b/>
          <w:color w:val="FF0000"/>
          <w:sz w:val="28"/>
          <w:szCs w:val="28"/>
        </w:rPr>
      </w:pPr>
      <w:r>
        <w:rPr>
          <w:rFonts w:asciiTheme="minorEastAsia" w:hAnsiTheme="minorEastAsia" w:hint="eastAsia"/>
          <w:b/>
          <w:color w:val="FF0000"/>
          <w:sz w:val="28"/>
          <w:szCs w:val="28"/>
        </w:rPr>
        <w:t>关于旗下基金投资关联方承销证券的公告</w:t>
      </w:r>
    </w:p>
    <w:p w:rsidR="00CB6F33" w:rsidRDefault="00CB6F33">
      <w:pPr>
        <w:jc w:val="center"/>
        <w:rPr>
          <w:rFonts w:asciiTheme="minorEastAsia" w:hAnsiTheme="minorEastAsia"/>
          <w:b/>
          <w:szCs w:val="21"/>
        </w:rPr>
      </w:pPr>
    </w:p>
    <w:p w:rsidR="00CB6F33" w:rsidRDefault="00F52971">
      <w:pPr>
        <w:spacing w:line="360" w:lineRule="auto"/>
        <w:ind w:firstLineChars="200" w:firstLine="420"/>
        <w:rPr>
          <w:rFonts w:asciiTheme="minorEastAsia" w:hAnsiTheme="minorEastAsia"/>
          <w:szCs w:val="21"/>
        </w:rPr>
      </w:pPr>
      <w:r>
        <w:rPr>
          <w:rFonts w:asciiTheme="minorEastAsia" w:hAnsiTheme="minorEastAsia" w:hint="eastAsia"/>
          <w:szCs w:val="21"/>
        </w:rPr>
        <w:t>根据《公开募集证券投资基金运作管理办法》《公开募集证券投资基金信息披露管理办法》及相关法律法规、基金合同、招募说明书等有关规定，在履行规定审批程序并经基金托管人同意后，嘉实基金管理有限公司（以下简称“本公司”）旗下部分公募基金参与了苏州市新广益电子股份有限公司（以下简称“新广益”）首次公开发行人民币普通股（A 股）的网下申购。新广益本次发行的保荐人（主承销商）中信证券股份有限公司为旗下部分公募基金托管人和部分公募基金托管人中信建投证券股份有限公司的关联方。新广益本次发行价格</w:t>
      </w:r>
      <w:r w:rsidRPr="0057619A">
        <w:rPr>
          <w:rFonts w:asciiTheme="minorEastAsia" w:hAnsiTheme="minorEastAsia" w:hint="eastAsia"/>
          <w:szCs w:val="21"/>
        </w:rPr>
        <w:t>为21.93元/股，</w:t>
      </w:r>
      <w:r>
        <w:rPr>
          <w:rFonts w:asciiTheme="minorEastAsia" w:hAnsiTheme="minorEastAsia" w:hint="eastAsia"/>
          <w:szCs w:val="21"/>
        </w:rPr>
        <w:t>由发行人和主承销商根据初步询价结果，综合考虑剩余报价及拟申购数量、有效认购倍数、发行人所处行业、市场情况、同行业上市公司估值水平、募集资金需求及承销风险等因素协商确定。</w:t>
      </w:r>
    </w:p>
    <w:p w:rsidR="00CB6F33" w:rsidRDefault="00F52971">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现将本公司涉及上述关联关系的公募基金获配信息公告如下：</w:t>
      </w:r>
    </w:p>
    <w:p w:rsidR="00CB6F33" w:rsidRDefault="00CB6F33">
      <w:pPr>
        <w:spacing w:line="360" w:lineRule="auto"/>
        <w:ind w:firstLineChars="200" w:firstLine="420"/>
        <w:rPr>
          <w:rFonts w:asciiTheme="minorEastAsia" w:hAnsiTheme="minorEastAsia"/>
          <w:color w:val="000000"/>
          <w:szCs w:val="21"/>
        </w:rPr>
      </w:pPr>
    </w:p>
    <w:tbl>
      <w:tblPr>
        <w:tblStyle w:val="a9"/>
        <w:tblW w:w="8301" w:type="dxa"/>
        <w:tblInd w:w="-5" w:type="dxa"/>
        <w:tblLook w:val="04A0"/>
      </w:tblPr>
      <w:tblGrid>
        <w:gridCol w:w="851"/>
        <w:gridCol w:w="2977"/>
        <w:gridCol w:w="1763"/>
        <w:gridCol w:w="2710"/>
      </w:tblGrid>
      <w:tr w:rsidR="00CB6F33">
        <w:tc>
          <w:tcPr>
            <w:tcW w:w="851" w:type="dxa"/>
          </w:tcPr>
          <w:p w:rsidR="00CB6F33" w:rsidRDefault="00F52971">
            <w:pPr>
              <w:jc w:val="center"/>
              <w:rPr>
                <w:rFonts w:asciiTheme="minorEastAsia" w:hAnsiTheme="minorEastAsia"/>
                <w:b/>
                <w:szCs w:val="21"/>
              </w:rPr>
            </w:pPr>
            <w:r>
              <w:rPr>
                <w:rFonts w:asciiTheme="minorEastAsia" w:hAnsiTheme="minorEastAsia" w:hint="eastAsia"/>
                <w:b/>
                <w:szCs w:val="21"/>
              </w:rPr>
              <w:t>序号</w:t>
            </w:r>
          </w:p>
        </w:tc>
        <w:tc>
          <w:tcPr>
            <w:tcW w:w="2977" w:type="dxa"/>
          </w:tcPr>
          <w:p w:rsidR="00CB6F33" w:rsidRDefault="00F52971">
            <w:pPr>
              <w:jc w:val="center"/>
              <w:rPr>
                <w:rFonts w:asciiTheme="minorEastAsia" w:hAnsiTheme="minorEastAsia"/>
                <w:b/>
                <w:szCs w:val="21"/>
              </w:rPr>
            </w:pPr>
            <w:r>
              <w:rPr>
                <w:rFonts w:asciiTheme="minorEastAsia" w:hAnsiTheme="minorEastAsia" w:hint="eastAsia"/>
                <w:b/>
                <w:szCs w:val="21"/>
              </w:rPr>
              <w:t>基金名称</w:t>
            </w:r>
          </w:p>
        </w:tc>
        <w:tc>
          <w:tcPr>
            <w:tcW w:w="1763" w:type="dxa"/>
          </w:tcPr>
          <w:p w:rsidR="00CB6F33" w:rsidRDefault="00F52971">
            <w:pPr>
              <w:jc w:val="center"/>
              <w:rPr>
                <w:rFonts w:asciiTheme="minorEastAsia" w:hAnsiTheme="minorEastAsia"/>
                <w:b/>
                <w:szCs w:val="21"/>
              </w:rPr>
            </w:pPr>
            <w:r>
              <w:rPr>
                <w:rFonts w:asciiTheme="minorEastAsia" w:hAnsiTheme="minorEastAsia" w:hint="eastAsia"/>
                <w:b/>
                <w:szCs w:val="21"/>
              </w:rPr>
              <w:t>获配数量（股）</w:t>
            </w:r>
          </w:p>
        </w:tc>
        <w:tc>
          <w:tcPr>
            <w:tcW w:w="2710" w:type="dxa"/>
          </w:tcPr>
          <w:p w:rsidR="00CB6F33" w:rsidRDefault="00F52971">
            <w:pPr>
              <w:jc w:val="center"/>
              <w:rPr>
                <w:rFonts w:asciiTheme="minorEastAsia" w:hAnsiTheme="minorEastAsia"/>
                <w:b/>
                <w:szCs w:val="21"/>
              </w:rPr>
            </w:pPr>
            <w:r>
              <w:rPr>
                <w:rFonts w:asciiTheme="minorEastAsia" w:hAnsiTheme="minorEastAsia" w:hint="eastAsia"/>
                <w:b/>
                <w:szCs w:val="21"/>
              </w:rPr>
              <w:t>获配金额（元）</w:t>
            </w:r>
          </w:p>
        </w:tc>
      </w:tr>
      <w:tr w:rsidR="00CB6F33">
        <w:tc>
          <w:tcPr>
            <w:tcW w:w="851" w:type="dxa"/>
            <w:vAlign w:val="center"/>
          </w:tcPr>
          <w:p w:rsidR="00CB6F33" w:rsidRDefault="00F52971">
            <w:pPr>
              <w:jc w:val="center"/>
              <w:rPr>
                <w:rFonts w:asciiTheme="minorEastAsia" w:hAnsiTheme="minorEastAsia"/>
                <w:szCs w:val="21"/>
              </w:rPr>
            </w:pPr>
            <w:r>
              <w:rPr>
                <w:rFonts w:asciiTheme="minorEastAsia" w:hAnsiTheme="minorEastAsia"/>
                <w:szCs w:val="21"/>
              </w:rPr>
              <w:t>1</w:t>
            </w:r>
          </w:p>
        </w:tc>
        <w:tc>
          <w:tcPr>
            <w:tcW w:w="2977" w:type="dxa"/>
            <w:vAlign w:val="center"/>
          </w:tcPr>
          <w:p w:rsidR="00CB6F33" w:rsidRDefault="00F52971">
            <w:pPr>
              <w:widowControl/>
              <w:jc w:val="left"/>
              <w:textAlignment w:val="center"/>
              <w:rPr>
                <w:rFonts w:asciiTheme="minorEastAsia" w:hAnsiTheme="minorEastAsia"/>
                <w:szCs w:val="21"/>
              </w:rPr>
            </w:pPr>
            <w:r>
              <w:rPr>
                <w:rFonts w:asciiTheme="minorEastAsia" w:hAnsiTheme="minorEastAsia" w:hint="eastAsia"/>
                <w:szCs w:val="21"/>
              </w:rPr>
              <w:t>嘉实中证机器人交易型开放式指数证券投资基金</w:t>
            </w:r>
          </w:p>
        </w:tc>
        <w:tc>
          <w:tcPr>
            <w:tcW w:w="1763" w:type="dxa"/>
            <w:vAlign w:val="center"/>
          </w:tcPr>
          <w:p w:rsidR="00CB6F33" w:rsidRDefault="0041760E">
            <w:pPr>
              <w:spacing w:line="259" w:lineRule="auto"/>
              <w:ind w:left="4"/>
              <w:jc w:val="center"/>
              <w:rPr>
                <w:rFonts w:asciiTheme="minorEastAsia" w:hAnsiTheme="minorEastAsia"/>
                <w:szCs w:val="21"/>
              </w:rPr>
            </w:pPr>
            <w:r w:rsidRPr="0041760E">
              <w:rPr>
                <w:rFonts w:asciiTheme="minorEastAsia" w:hAnsiTheme="minorEastAsia"/>
                <w:szCs w:val="21"/>
              </w:rPr>
              <w:t>1,942</w:t>
            </w:r>
          </w:p>
        </w:tc>
        <w:tc>
          <w:tcPr>
            <w:tcW w:w="2710" w:type="dxa"/>
            <w:vAlign w:val="center"/>
          </w:tcPr>
          <w:p w:rsidR="00CB6F33" w:rsidRDefault="0041760E">
            <w:pPr>
              <w:spacing w:line="259" w:lineRule="auto"/>
              <w:ind w:left="2"/>
              <w:jc w:val="center"/>
              <w:rPr>
                <w:rFonts w:asciiTheme="minorEastAsia" w:hAnsiTheme="minorEastAsia"/>
                <w:szCs w:val="21"/>
              </w:rPr>
            </w:pPr>
            <w:r w:rsidRPr="0041760E">
              <w:rPr>
                <w:rFonts w:asciiTheme="minorEastAsia" w:hAnsiTheme="minorEastAsia"/>
                <w:szCs w:val="21"/>
              </w:rPr>
              <w:t>42,588.06</w:t>
            </w:r>
          </w:p>
        </w:tc>
      </w:tr>
      <w:tr w:rsidR="0041760E">
        <w:tc>
          <w:tcPr>
            <w:tcW w:w="851" w:type="dxa"/>
            <w:vAlign w:val="center"/>
          </w:tcPr>
          <w:p w:rsidR="0041760E" w:rsidRDefault="0041760E" w:rsidP="0041760E">
            <w:pPr>
              <w:jc w:val="center"/>
              <w:rPr>
                <w:rFonts w:asciiTheme="minorEastAsia" w:hAnsiTheme="minorEastAsia"/>
                <w:szCs w:val="21"/>
              </w:rPr>
            </w:pPr>
            <w:r>
              <w:rPr>
                <w:rFonts w:asciiTheme="minorEastAsia" w:hAnsiTheme="minorEastAsia" w:hint="eastAsia"/>
                <w:szCs w:val="21"/>
              </w:rPr>
              <w:t>2</w:t>
            </w:r>
          </w:p>
        </w:tc>
        <w:tc>
          <w:tcPr>
            <w:tcW w:w="2977" w:type="dxa"/>
            <w:vAlign w:val="center"/>
          </w:tcPr>
          <w:p w:rsidR="0041760E" w:rsidRDefault="0041760E" w:rsidP="0041760E">
            <w:pPr>
              <w:widowControl/>
              <w:jc w:val="left"/>
              <w:textAlignment w:val="center"/>
              <w:rPr>
                <w:rFonts w:asciiTheme="minorEastAsia" w:hAnsiTheme="minorEastAsia"/>
                <w:szCs w:val="21"/>
              </w:rPr>
            </w:pPr>
            <w:r>
              <w:rPr>
                <w:rFonts w:asciiTheme="minorEastAsia" w:hAnsiTheme="minorEastAsia" w:hint="eastAsia"/>
                <w:szCs w:val="21"/>
              </w:rPr>
              <w:t>嘉实国证通信交易型开放式指数证券投资基金</w:t>
            </w:r>
          </w:p>
        </w:tc>
        <w:tc>
          <w:tcPr>
            <w:tcW w:w="1763" w:type="dxa"/>
            <w:vAlign w:val="center"/>
          </w:tcPr>
          <w:p w:rsidR="0041760E" w:rsidRDefault="0041760E" w:rsidP="0041760E">
            <w:pPr>
              <w:spacing w:line="259" w:lineRule="auto"/>
              <w:ind w:left="4"/>
              <w:jc w:val="center"/>
              <w:rPr>
                <w:rFonts w:asciiTheme="minorEastAsia" w:hAnsiTheme="minorEastAsia"/>
                <w:szCs w:val="21"/>
              </w:rPr>
            </w:pPr>
            <w:r w:rsidRPr="0041760E">
              <w:rPr>
                <w:rFonts w:asciiTheme="minorEastAsia" w:hAnsiTheme="minorEastAsia"/>
                <w:szCs w:val="21"/>
              </w:rPr>
              <w:t>1,942</w:t>
            </w:r>
          </w:p>
        </w:tc>
        <w:tc>
          <w:tcPr>
            <w:tcW w:w="2710" w:type="dxa"/>
            <w:vAlign w:val="center"/>
          </w:tcPr>
          <w:p w:rsidR="0041760E" w:rsidRDefault="0041760E" w:rsidP="0041760E">
            <w:pPr>
              <w:spacing w:line="259" w:lineRule="auto"/>
              <w:ind w:left="2"/>
              <w:jc w:val="center"/>
              <w:rPr>
                <w:rFonts w:asciiTheme="minorEastAsia" w:hAnsiTheme="minorEastAsia"/>
                <w:szCs w:val="21"/>
              </w:rPr>
            </w:pPr>
            <w:r w:rsidRPr="0041760E">
              <w:rPr>
                <w:rFonts w:asciiTheme="minorEastAsia" w:hAnsiTheme="minorEastAsia"/>
                <w:szCs w:val="21"/>
              </w:rPr>
              <w:t>42,588.06</w:t>
            </w:r>
          </w:p>
        </w:tc>
      </w:tr>
      <w:tr w:rsidR="0041760E">
        <w:tc>
          <w:tcPr>
            <w:tcW w:w="851" w:type="dxa"/>
            <w:vAlign w:val="center"/>
          </w:tcPr>
          <w:p w:rsidR="0041760E" w:rsidRDefault="0041760E" w:rsidP="0041760E">
            <w:pPr>
              <w:jc w:val="center"/>
              <w:rPr>
                <w:rFonts w:asciiTheme="minorEastAsia" w:hAnsiTheme="minorEastAsia"/>
                <w:szCs w:val="21"/>
              </w:rPr>
            </w:pPr>
            <w:r>
              <w:rPr>
                <w:rFonts w:asciiTheme="minorEastAsia" w:hAnsiTheme="minorEastAsia" w:hint="eastAsia"/>
                <w:szCs w:val="21"/>
              </w:rPr>
              <w:t>3</w:t>
            </w:r>
          </w:p>
        </w:tc>
        <w:tc>
          <w:tcPr>
            <w:tcW w:w="2977" w:type="dxa"/>
            <w:vAlign w:val="center"/>
          </w:tcPr>
          <w:p w:rsidR="0041760E" w:rsidRDefault="0041760E" w:rsidP="0041760E">
            <w:pPr>
              <w:widowControl/>
              <w:jc w:val="left"/>
              <w:textAlignment w:val="center"/>
              <w:rPr>
                <w:rFonts w:asciiTheme="minorEastAsia" w:hAnsiTheme="minorEastAsia"/>
                <w:szCs w:val="21"/>
              </w:rPr>
            </w:pPr>
            <w:r>
              <w:rPr>
                <w:rFonts w:asciiTheme="minorEastAsia" w:hAnsiTheme="minorEastAsia" w:hint="eastAsia"/>
                <w:szCs w:val="21"/>
              </w:rPr>
              <w:t>嘉实中证电池主题交易型开放式指数证券投资基金</w:t>
            </w:r>
          </w:p>
        </w:tc>
        <w:tc>
          <w:tcPr>
            <w:tcW w:w="1763" w:type="dxa"/>
            <w:vAlign w:val="center"/>
          </w:tcPr>
          <w:p w:rsidR="0041760E" w:rsidRDefault="0041760E" w:rsidP="0041760E">
            <w:pPr>
              <w:spacing w:line="259" w:lineRule="auto"/>
              <w:ind w:left="4"/>
              <w:jc w:val="center"/>
              <w:rPr>
                <w:rFonts w:asciiTheme="minorEastAsia" w:hAnsiTheme="minorEastAsia"/>
                <w:szCs w:val="21"/>
              </w:rPr>
            </w:pPr>
            <w:r w:rsidRPr="0041760E">
              <w:rPr>
                <w:rFonts w:asciiTheme="minorEastAsia" w:hAnsiTheme="minorEastAsia"/>
                <w:szCs w:val="21"/>
              </w:rPr>
              <w:t>1,942</w:t>
            </w:r>
          </w:p>
        </w:tc>
        <w:tc>
          <w:tcPr>
            <w:tcW w:w="2710" w:type="dxa"/>
            <w:vAlign w:val="center"/>
          </w:tcPr>
          <w:p w:rsidR="0041760E" w:rsidRDefault="0041760E" w:rsidP="0041760E">
            <w:pPr>
              <w:spacing w:line="259" w:lineRule="auto"/>
              <w:ind w:left="2"/>
              <w:jc w:val="center"/>
              <w:rPr>
                <w:rFonts w:asciiTheme="minorEastAsia" w:hAnsiTheme="minorEastAsia"/>
                <w:szCs w:val="21"/>
              </w:rPr>
            </w:pPr>
            <w:r w:rsidRPr="0041760E">
              <w:rPr>
                <w:rFonts w:asciiTheme="minorEastAsia" w:hAnsiTheme="minorEastAsia"/>
                <w:szCs w:val="21"/>
              </w:rPr>
              <w:t>42,588.06</w:t>
            </w:r>
          </w:p>
        </w:tc>
      </w:tr>
    </w:tbl>
    <w:p w:rsidR="00CB6F33" w:rsidRDefault="00CB6F33">
      <w:pPr>
        <w:ind w:firstLineChars="200" w:firstLine="420"/>
        <w:rPr>
          <w:rFonts w:asciiTheme="minorEastAsia" w:hAnsiTheme="minorEastAsia"/>
          <w:color w:val="000000"/>
          <w:szCs w:val="21"/>
        </w:rPr>
      </w:pPr>
    </w:p>
    <w:p w:rsidR="00CB6F33" w:rsidRDefault="00F52971">
      <w:pPr>
        <w:ind w:firstLineChars="200" w:firstLine="420"/>
        <w:rPr>
          <w:rFonts w:asciiTheme="minorEastAsia" w:hAnsiTheme="minorEastAsia"/>
          <w:color w:val="000000"/>
          <w:szCs w:val="21"/>
        </w:rPr>
      </w:pPr>
      <w:r>
        <w:rPr>
          <w:rFonts w:asciiTheme="minorEastAsia" w:hAnsiTheme="minorEastAsia"/>
          <w:color w:val="000000"/>
          <w:szCs w:val="21"/>
        </w:rPr>
        <w:t>特此公告</w:t>
      </w:r>
      <w:r>
        <w:rPr>
          <w:rFonts w:asciiTheme="minorEastAsia" w:hAnsiTheme="minorEastAsia" w:hint="eastAsia"/>
          <w:color w:val="000000"/>
          <w:szCs w:val="21"/>
        </w:rPr>
        <w:t>。</w:t>
      </w:r>
    </w:p>
    <w:p w:rsidR="00CB6F33" w:rsidRDefault="00CB6F33">
      <w:pPr>
        <w:ind w:firstLineChars="200" w:firstLine="420"/>
        <w:rPr>
          <w:rFonts w:asciiTheme="minorEastAsia" w:hAnsiTheme="minorEastAsia"/>
          <w:color w:val="000000"/>
          <w:szCs w:val="21"/>
        </w:rPr>
      </w:pPr>
      <w:bookmarkStart w:id="0" w:name="_GoBack"/>
      <w:bookmarkEnd w:id="0"/>
    </w:p>
    <w:p w:rsidR="00CB6F33" w:rsidRDefault="00F52971">
      <w:pPr>
        <w:ind w:firstLineChars="200" w:firstLine="420"/>
        <w:jc w:val="right"/>
        <w:rPr>
          <w:rFonts w:asciiTheme="minorEastAsia" w:hAnsiTheme="minorEastAsia"/>
          <w:b/>
          <w:color w:val="000000"/>
          <w:szCs w:val="21"/>
        </w:rPr>
      </w:pPr>
      <w:r>
        <w:rPr>
          <w:rFonts w:asciiTheme="minorEastAsia" w:hAnsiTheme="minorEastAsia" w:hint="eastAsia"/>
          <w:color w:val="000000"/>
          <w:szCs w:val="21"/>
        </w:rPr>
        <w:t xml:space="preserve">                                             </w:t>
      </w:r>
      <w:r>
        <w:rPr>
          <w:rFonts w:asciiTheme="minorEastAsia" w:hAnsiTheme="minorEastAsia"/>
          <w:b/>
          <w:color w:val="000000"/>
          <w:szCs w:val="21"/>
        </w:rPr>
        <w:t>嘉实基金管理有限公司</w:t>
      </w:r>
    </w:p>
    <w:p w:rsidR="00CB6F33" w:rsidRDefault="00F52971">
      <w:pPr>
        <w:ind w:firstLineChars="200" w:firstLine="420"/>
        <w:jc w:val="right"/>
        <w:rPr>
          <w:rFonts w:asciiTheme="minorEastAsia" w:hAnsiTheme="minorEastAsia"/>
          <w:b/>
          <w:color w:val="000000"/>
          <w:szCs w:val="21"/>
        </w:rPr>
      </w:pPr>
      <w:r>
        <w:rPr>
          <w:rFonts w:asciiTheme="minorEastAsia" w:hAnsiTheme="minorEastAsia" w:hint="eastAsia"/>
          <w:color w:val="000000"/>
          <w:szCs w:val="21"/>
        </w:rPr>
        <w:t xml:space="preserve">                             </w:t>
      </w:r>
      <w:r>
        <w:rPr>
          <w:rFonts w:asciiTheme="minorEastAsia" w:hAnsiTheme="minorEastAsia"/>
          <w:color w:val="000000"/>
          <w:szCs w:val="21"/>
        </w:rPr>
        <w:t xml:space="preserve">                 </w:t>
      </w:r>
      <w:r>
        <w:rPr>
          <w:rFonts w:asciiTheme="minorEastAsia" w:hAnsiTheme="minorEastAsia"/>
          <w:b/>
          <w:color w:val="000000"/>
          <w:szCs w:val="21"/>
        </w:rPr>
        <w:t xml:space="preserve"> 202</w:t>
      </w:r>
      <w:r>
        <w:rPr>
          <w:rFonts w:asciiTheme="minorEastAsia" w:hAnsiTheme="minorEastAsia" w:hint="eastAsia"/>
          <w:b/>
          <w:color w:val="000000"/>
          <w:szCs w:val="21"/>
        </w:rPr>
        <w:t>5</w:t>
      </w:r>
      <w:r>
        <w:rPr>
          <w:rFonts w:asciiTheme="minorEastAsia" w:hAnsiTheme="minorEastAsia"/>
          <w:b/>
          <w:color w:val="000000"/>
          <w:szCs w:val="21"/>
        </w:rPr>
        <w:t>年</w:t>
      </w:r>
      <w:r>
        <w:rPr>
          <w:rFonts w:asciiTheme="minorEastAsia" w:hAnsiTheme="minorEastAsia" w:hint="eastAsia"/>
          <w:b/>
          <w:color w:val="000000"/>
          <w:szCs w:val="21"/>
        </w:rPr>
        <w:t>12</w:t>
      </w:r>
      <w:r>
        <w:rPr>
          <w:rFonts w:asciiTheme="minorEastAsia" w:hAnsiTheme="minorEastAsia"/>
          <w:b/>
          <w:color w:val="000000"/>
          <w:szCs w:val="21"/>
        </w:rPr>
        <w:t>月</w:t>
      </w:r>
      <w:r>
        <w:rPr>
          <w:rFonts w:asciiTheme="minorEastAsia" w:hAnsiTheme="minorEastAsia" w:hint="eastAsia"/>
          <w:b/>
          <w:color w:val="000000"/>
          <w:szCs w:val="21"/>
        </w:rPr>
        <w:t>25</w:t>
      </w:r>
      <w:r>
        <w:rPr>
          <w:rFonts w:asciiTheme="minorEastAsia" w:hAnsiTheme="minorEastAsia"/>
          <w:b/>
          <w:color w:val="000000"/>
          <w:szCs w:val="21"/>
        </w:rPr>
        <w:t>日</w:t>
      </w:r>
    </w:p>
    <w:p w:rsidR="00CB6F33" w:rsidRDefault="00CB6F33">
      <w:pPr>
        <w:ind w:firstLineChars="200" w:firstLine="420"/>
        <w:jc w:val="right"/>
        <w:rPr>
          <w:rFonts w:asciiTheme="minorEastAsia" w:hAnsiTheme="minorEastAsia"/>
          <w:color w:val="000000"/>
          <w:szCs w:val="21"/>
        </w:rPr>
      </w:pPr>
    </w:p>
    <w:p w:rsidR="00CB6F33" w:rsidRDefault="00CB6F33">
      <w:pPr>
        <w:ind w:firstLineChars="200" w:firstLine="420"/>
        <w:jc w:val="right"/>
        <w:rPr>
          <w:rFonts w:asciiTheme="minorEastAsia" w:hAnsiTheme="minorEastAsia"/>
          <w:color w:val="000000"/>
          <w:szCs w:val="21"/>
        </w:rPr>
      </w:pPr>
    </w:p>
    <w:p w:rsidR="00CB6F33" w:rsidRDefault="00CB6F33">
      <w:pPr>
        <w:ind w:firstLineChars="200" w:firstLine="420"/>
        <w:jc w:val="right"/>
        <w:rPr>
          <w:rFonts w:asciiTheme="minorEastAsia" w:hAnsiTheme="minorEastAsia"/>
          <w:szCs w:val="21"/>
        </w:rPr>
      </w:pPr>
    </w:p>
    <w:sectPr w:rsidR="00CB6F33" w:rsidSect="00EF28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971" w:rsidRDefault="00F52971"/>
  </w:endnote>
  <w:endnote w:type="continuationSeparator" w:id="0">
    <w:p w:rsidR="00F52971" w:rsidRDefault="00F5297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971" w:rsidRDefault="00F52971"/>
  </w:footnote>
  <w:footnote w:type="continuationSeparator" w:id="0">
    <w:p w:rsidR="00F52971" w:rsidRDefault="00F5297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50E"/>
    <w:rsid w:val="00002CB4"/>
    <w:rsid w:val="00016A00"/>
    <w:rsid w:val="0002230C"/>
    <w:rsid w:val="00053326"/>
    <w:rsid w:val="0006350E"/>
    <w:rsid w:val="0008254B"/>
    <w:rsid w:val="00093D58"/>
    <w:rsid w:val="000B2BFF"/>
    <w:rsid w:val="000F1F12"/>
    <w:rsid w:val="00143F73"/>
    <w:rsid w:val="00175DF2"/>
    <w:rsid w:val="00185A2E"/>
    <w:rsid w:val="001A66A8"/>
    <w:rsid w:val="001B7DA8"/>
    <w:rsid w:val="001E7C41"/>
    <w:rsid w:val="00212D3C"/>
    <w:rsid w:val="00212FD3"/>
    <w:rsid w:val="00227811"/>
    <w:rsid w:val="0024493D"/>
    <w:rsid w:val="00271590"/>
    <w:rsid w:val="00291287"/>
    <w:rsid w:val="00295DDE"/>
    <w:rsid w:val="002C2BEA"/>
    <w:rsid w:val="002E3DAD"/>
    <w:rsid w:val="002E795E"/>
    <w:rsid w:val="00306B3C"/>
    <w:rsid w:val="0032514B"/>
    <w:rsid w:val="00325166"/>
    <w:rsid w:val="0035348B"/>
    <w:rsid w:val="00353F8E"/>
    <w:rsid w:val="00377472"/>
    <w:rsid w:val="00397E5B"/>
    <w:rsid w:val="003D7C55"/>
    <w:rsid w:val="003E610A"/>
    <w:rsid w:val="003E79A5"/>
    <w:rsid w:val="0040042F"/>
    <w:rsid w:val="00403882"/>
    <w:rsid w:val="0041760E"/>
    <w:rsid w:val="00426DB3"/>
    <w:rsid w:val="00435F63"/>
    <w:rsid w:val="00440E60"/>
    <w:rsid w:val="0044667B"/>
    <w:rsid w:val="00473B89"/>
    <w:rsid w:val="0047607E"/>
    <w:rsid w:val="00484FB6"/>
    <w:rsid w:val="00491733"/>
    <w:rsid w:val="004A1DD0"/>
    <w:rsid w:val="004A5766"/>
    <w:rsid w:val="004B1E56"/>
    <w:rsid w:val="004B58D3"/>
    <w:rsid w:val="004C0927"/>
    <w:rsid w:val="004C40B9"/>
    <w:rsid w:val="004C499D"/>
    <w:rsid w:val="004F76BA"/>
    <w:rsid w:val="00500522"/>
    <w:rsid w:val="00540551"/>
    <w:rsid w:val="0055498B"/>
    <w:rsid w:val="005573E5"/>
    <w:rsid w:val="00561042"/>
    <w:rsid w:val="0057619A"/>
    <w:rsid w:val="005915AA"/>
    <w:rsid w:val="005C2E32"/>
    <w:rsid w:val="005E0BD7"/>
    <w:rsid w:val="00631291"/>
    <w:rsid w:val="00637123"/>
    <w:rsid w:val="00667F2A"/>
    <w:rsid w:val="006A59B7"/>
    <w:rsid w:val="006A6ACA"/>
    <w:rsid w:val="006B2EC0"/>
    <w:rsid w:val="006E7564"/>
    <w:rsid w:val="006F157F"/>
    <w:rsid w:val="006F22D8"/>
    <w:rsid w:val="00723FEB"/>
    <w:rsid w:val="00735925"/>
    <w:rsid w:val="00744211"/>
    <w:rsid w:val="00750C02"/>
    <w:rsid w:val="007555EB"/>
    <w:rsid w:val="007B5D5E"/>
    <w:rsid w:val="007B63B9"/>
    <w:rsid w:val="007D5FE9"/>
    <w:rsid w:val="007F51DA"/>
    <w:rsid w:val="00803511"/>
    <w:rsid w:val="00811B64"/>
    <w:rsid w:val="00823322"/>
    <w:rsid w:val="00827109"/>
    <w:rsid w:val="00830C98"/>
    <w:rsid w:val="00853989"/>
    <w:rsid w:val="00862BD2"/>
    <w:rsid w:val="0086777D"/>
    <w:rsid w:val="008906F8"/>
    <w:rsid w:val="0089714E"/>
    <w:rsid w:val="008A5554"/>
    <w:rsid w:val="008B7716"/>
    <w:rsid w:val="008D492F"/>
    <w:rsid w:val="008F041C"/>
    <w:rsid w:val="009207E9"/>
    <w:rsid w:val="00925A80"/>
    <w:rsid w:val="00926D47"/>
    <w:rsid w:val="00934737"/>
    <w:rsid w:val="00935C32"/>
    <w:rsid w:val="00942BA3"/>
    <w:rsid w:val="00942F6E"/>
    <w:rsid w:val="009436BB"/>
    <w:rsid w:val="00985ED9"/>
    <w:rsid w:val="00993B07"/>
    <w:rsid w:val="009970E5"/>
    <w:rsid w:val="009A1E1F"/>
    <w:rsid w:val="00A0053D"/>
    <w:rsid w:val="00A44865"/>
    <w:rsid w:val="00A505C0"/>
    <w:rsid w:val="00A5439C"/>
    <w:rsid w:val="00A70C01"/>
    <w:rsid w:val="00A816F6"/>
    <w:rsid w:val="00AA3E0D"/>
    <w:rsid w:val="00AA4F6B"/>
    <w:rsid w:val="00AB417D"/>
    <w:rsid w:val="00AD3465"/>
    <w:rsid w:val="00B07129"/>
    <w:rsid w:val="00B26699"/>
    <w:rsid w:val="00B42CDE"/>
    <w:rsid w:val="00B7061D"/>
    <w:rsid w:val="00B750C1"/>
    <w:rsid w:val="00BA2E05"/>
    <w:rsid w:val="00BB1FD1"/>
    <w:rsid w:val="00BC07E4"/>
    <w:rsid w:val="00BC3578"/>
    <w:rsid w:val="00BC60A8"/>
    <w:rsid w:val="00BF5A69"/>
    <w:rsid w:val="00C26771"/>
    <w:rsid w:val="00C36F4B"/>
    <w:rsid w:val="00C4168B"/>
    <w:rsid w:val="00C63D1D"/>
    <w:rsid w:val="00C76D87"/>
    <w:rsid w:val="00C949A6"/>
    <w:rsid w:val="00C955A4"/>
    <w:rsid w:val="00C9693F"/>
    <w:rsid w:val="00CB6F33"/>
    <w:rsid w:val="00D11D8B"/>
    <w:rsid w:val="00D32607"/>
    <w:rsid w:val="00D403D5"/>
    <w:rsid w:val="00D41B17"/>
    <w:rsid w:val="00D61195"/>
    <w:rsid w:val="00D613C8"/>
    <w:rsid w:val="00D760DB"/>
    <w:rsid w:val="00D761C0"/>
    <w:rsid w:val="00DB0248"/>
    <w:rsid w:val="00DB6DB7"/>
    <w:rsid w:val="00EB605D"/>
    <w:rsid w:val="00ED1506"/>
    <w:rsid w:val="00EE25A9"/>
    <w:rsid w:val="00EE6512"/>
    <w:rsid w:val="00EF2802"/>
    <w:rsid w:val="00EF2F86"/>
    <w:rsid w:val="00F24861"/>
    <w:rsid w:val="00F47551"/>
    <w:rsid w:val="00F52971"/>
    <w:rsid w:val="00F52A73"/>
    <w:rsid w:val="00F74ACB"/>
    <w:rsid w:val="00F949D6"/>
    <w:rsid w:val="00FB09FC"/>
    <w:rsid w:val="00FE5645"/>
    <w:rsid w:val="01284EDA"/>
    <w:rsid w:val="015B549B"/>
    <w:rsid w:val="049472BB"/>
    <w:rsid w:val="059D6CA0"/>
    <w:rsid w:val="09C52911"/>
    <w:rsid w:val="0C393E50"/>
    <w:rsid w:val="0F773FBC"/>
    <w:rsid w:val="138E7130"/>
    <w:rsid w:val="15B95C15"/>
    <w:rsid w:val="171A06C0"/>
    <w:rsid w:val="1C85600B"/>
    <w:rsid w:val="1DCA6C28"/>
    <w:rsid w:val="26F41540"/>
    <w:rsid w:val="27C60E78"/>
    <w:rsid w:val="2A493C9C"/>
    <w:rsid w:val="2CD403AE"/>
    <w:rsid w:val="2F2F365F"/>
    <w:rsid w:val="2F3951BF"/>
    <w:rsid w:val="31894C12"/>
    <w:rsid w:val="32536DE7"/>
    <w:rsid w:val="346D3911"/>
    <w:rsid w:val="36105771"/>
    <w:rsid w:val="38705A4C"/>
    <w:rsid w:val="3E2B558B"/>
    <w:rsid w:val="3E692E72"/>
    <w:rsid w:val="42CA46A0"/>
    <w:rsid w:val="45A42D5D"/>
    <w:rsid w:val="46C816AD"/>
    <w:rsid w:val="4D9C5D37"/>
    <w:rsid w:val="50A90C63"/>
    <w:rsid w:val="52B26244"/>
    <w:rsid w:val="541D5278"/>
    <w:rsid w:val="54C44723"/>
    <w:rsid w:val="59163636"/>
    <w:rsid w:val="5BB374EF"/>
    <w:rsid w:val="5DCD6BE1"/>
    <w:rsid w:val="62B06A9B"/>
    <w:rsid w:val="6A4E7B07"/>
    <w:rsid w:val="6B3A1340"/>
    <w:rsid w:val="6D7512A2"/>
    <w:rsid w:val="6E736112"/>
    <w:rsid w:val="717D4AA1"/>
    <w:rsid w:val="72271284"/>
    <w:rsid w:val="74245119"/>
    <w:rsid w:val="77810D3C"/>
    <w:rsid w:val="7A5435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80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F2802"/>
    <w:pPr>
      <w:jc w:val="left"/>
    </w:pPr>
  </w:style>
  <w:style w:type="paragraph" w:styleId="a4">
    <w:name w:val="Balloon Text"/>
    <w:basedOn w:val="a"/>
    <w:link w:val="Char0"/>
    <w:uiPriority w:val="99"/>
    <w:semiHidden/>
    <w:unhideWhenUsed/>
    <w:qFormat/>
    <w:rsid w:val="00EF2802"/>
    <w:rPr>
      <w:sz w:val="18"/>
      <w:szCs w:val="18"/>
    </w:rPr>
  </w:style>
  <w:style w:type="paragraph" w:styleId="a5">
    <w:name w:val="footer"/>
    <w:basedOn w:val="a"/>
    <w:link w:val="Char1"/>
    <w:uiPriority w:val="99"/>
    <w:unhideWhenUsed/>
    <w:qFormat/>
    <w:rsid w:val="00EF280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F280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EF2802"/>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EF2802"/>
    <w:rPr>
      <w:b/>
      <w:bCs/>
    </w:rPr>
  </w:style>
  <w:style w:type="table" w:styleId="a9">
    <w:name w:val="Table Grid"/>
    <w:basedOn w:val="a1"/>
    <w:uiPriority w:val="39"/>
    <w:qFormat/>
    <w:rsid w:val="00EF2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EF2802"/>
    <w:rPr>
      <w:sz w:val="21"/>
      <w:szCs w:val="21"/>
    </w:rPr>
  </w:style>
  <w:style w:type="paragraph" w:customStyle="1" w:styleId="Default">
    <w:name w:val="Default"/>
    <w:qFormat/>
    <w:rsid w:val="00EF2802"/>
    <w:pPr>
      <w:widowControl w:val="0"/>
      <w:autoSpaceDE w:val="0"/>
      <w:autoSpaceDN w:val="0"/>
      <w:adjustRightInd w:val="0"/>
    </w:pPr>
    <w:rPr>
      <w:rFonts w:ascii="宋体" w:hAnsiTheme="minorHAnsi" w:cs="宋体"/>
      <w:color w:val="000000"/>
      <w:sz w:val="24"/>
      <w:szCs w:val="24"/>
    </w:rPr>
  </w:style>
  <w:style w:type="character" w:customStyle="1" w:styleId="Char2">
    <w:name w:val="页眉 Char"/>
    <w:basedOn w:val="a0"/>
    <w:link w:val="a6"/>
    <w:uiPriority w:val="99"/>
    <w:qFormat/>
    <w:rsid w:val="00EF2802"/>
    <w:rPr>
      <w:sz w:val="18"/>
      <w:szCs w:val="18"/>
    </w:rPr>
  </w:style>
  <w:style w:type="character" w:customStyle="1" w:styleId="Char1">
    <w:name w:val="页脚 Char"/>
    <w:basedOn w:val="a0"/>
    <w:link w:val="a5"/>
    <w:uiPriority w:val="99"/>
    <w:qFormat/>
    <w:rsid w:val="00EF2802"/>
    <w:rPr>
      <w:sz w:val="18"/>
      <w:szCs w:val="18"/>
    </w:rPr>
  </w:style>
  <w:style w:type="character" w:customStyle="1" w:styleId="Char">
    <w:name w:val="批注文字 Char"/>
    <w:basedOn w:val="a0"/>
    <w:link w:val="a3"/>
    <w:uiPriority w:val="99"/>
    <w:semiHidden/>
    <w:qFormat/>
    <w:rsid w:val="00EF2802"/>
  </w:style>
  <w:style w:type="character" w:customStyle="1" w:styleId="Char3">
    <w:name w:val="批注主题 Char"/>
    <w:basedOn w:val="Char"/>
    <w:link w:val="a8"/>
    <w:uiPriority w:val="99"/>
    <w:semiHidden/>
    <w:qFormat/>
    <w:rsid w:val="00EF2802"/>
    <w:rPr>
      <w:b/>
      <w:bCs/>
    </w:rPr>
  </w:style>
  <w:style w:type="character" w:customStyle="1" w:styleId="Char0">
    <w:name w:val="批注框文本 Char"/>
    <w:basedOn w:val="a0"/>
    <w:link w:val="a4"/>
    <w:uiPriority w:val="99"/>
    <w:semiHidden/>
    <w:qFormat/>
    <w:rsid w:val="00EF280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4</DocSecurity>
  <Lines>4</Lines>
  <Paragraphs>1</Paragraphs>
  <ScaleCrop>false</ScaleCrop>
  <Company>1</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杨欣怡</dc:creator>
  <cp:lastModifiedBy>ZHONGM</cp:lastModifiedBy>
  <cp:revision>2</cp:revision>
  <dcterms:created xsi:type="dcterms:W3CDTF">2025-12-24T16:02:00Z</dcterms:created>
  <dcterms:modified xsi:type="dcterms:W3CDTF">2025-12-24T16:02:00Z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E5CCC2E781544B9491720227251347B5</vt:lpwstr>
  </property>
</Properties>
</file>