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14E" w:rsidRDefault="00447A60">
      <w:pPr>
        <w:jc w:val="center"/>
        <w:rPr>
          <w:rFonts w:ascii="仿宋" w:eastAsia="仿宋" w:hAnsi="仿宋"/>
          <w:b/>
          <w:bCs/>
          <w:sz w:val="32"/>
          <w:szCs w:val="32"/>
        </w:rPr>
      </w:pPr>
      <w:r>
        <w:rPr>
          <w:rFonts w:ascii="仿宋" w:eastAsia="仿宋" w:hAnsi="仿宋" w:hint="eastAsia"/>
          <w:b/>
          <w:bCs/>
          <w:sz w:val="32"/>
          <w:szCs w:val="32"/>
        </w:rPr>
        <w:t>富安达新动力灵活配置混合型证券投资基金</w:t>
      </w:r>
    </w:p>
    <w:p w:rsidR="00DC314E" w:rsidRDefault="00447A60">
      <w:pPr>
        <w:jc w:val="center"/>
        <w:rPr>
          <w:rFonts w:ascii="仿宋" w:eastAsia="仿宋" w:hAnsi="仿宋"/>
          <w:b/>
          <w:bCs/>
          <w:sz w:val="32"/>
          <w:szCs w:val="32"/>
        </w:rPr>
      </w:pPr>
      <w:r>
        <w:rPr>
          <w:rFonts w:ascii="仿宋" w:eastAsia="仿宋" w:hAnsi="仿宋"/>
          <w:b/>
          <w:bCs/>
          <w:sz w:val="32"/>
          <w:szCs w:val="32"/>
        </w:rPr>
        <w:t>剩余财产分配公告</w:t>
      </w:r>
    </w:p>
    <w:p w:rsidR="00DC314E" w:rsidRDefault="00DC314E">
      <w:pPr>
        <w:jc w:val="center"/>
        <w:rPr>
          <w:rFonts w:ascii="仿宋" w:eastAsia="仿宋" w:hAnsi="仿宋"/>
          <w:b/>
          <w:bCs/>
          <w:sz w:val="32"/>
          <w:szCs w:val="32"/>
        </w:rPr>
      </w:pPr>
    </w:p>
    <w:p w:rsidR="00DC314E" w:rsidRDefault="00447A60">
      <w:pPr>
        <w:ind w:firstLineChars="200" w:firstLine="640"/>
        <w:rPr>
          <w:rFonts w:ascii="仿宋" w:eastAsia="仿宋" w:hAnsi="仿宋"/>
          <w:sz w:val="32"/>
          <w:szCs w:val="32"/>
        </w:rPr>
      </w:pPr>
      <w:r>
        <w:rPr>
          <w:rFonts w:ascii="仿宋" w:eastAsia="仿宋" w:hAnsi="仿宋" w:hint="eastAsia"/>
          <w:sz w:val="32"/>
          <w:szCs w:val="32"/>
        </w:rPr>
        <w:t>根据《中华人民共和国证券投资基金法》、《公开募集证券投资基金运作管理办法》及富安达基金管理有限公司（以下简称“基金管理人”）于</w:t>
      </w:r>
      <w:r>
        <w:rPr>
          <w:rFonts w:ascii="仿宋" w:eastAsia="仿宋" w:hAnsi="仿宋" w:hint="eastAsia"/>
          <w:sz w:val="32"/>
          <w:szCs w:val="32"/>
        </w:rPr>
        <w:t>2025</w:t>
      </w:r>
      <w:r>
        <w:rPr>
          <w:rFonts w:ascii="仿宋" w:eastAsia="仿宋" w:hAnsi="仿宋" w:hint="eastAsia"/>
          <w:sz w:val="32"/>
          <w:szCs w:val="32"/>
        </w:rPr>
        <w:t>年</w:t>
      </w:r>
      <w:r>
        <w:rPr>
          <w:rFonts w:ascii="仿宋" w:eastAsia="仿宋" w:hAnsi="仿宋" w:hint="eastAsia"/>
          <w:sz w:val="32"/>
          <w:szCs w:val="32"/>
        </w:rPr>
        <w:t>11</w:t>
      </w:r>
      <w:r>
        <w:rPr>
          <w:rFonts w:ascii="仿宋" w:eastAsia="仿宋" w:hAnsi="仿宋" w:hint="eastAsia"/>
          <w:sz w:val="32"/>
          <w:szCs w:val="32"/>
        </w:rPr>
        <w:t>月</w:t>
      </w:r>
      <w:r>
        <w:rPr>
          <w:rFonts w:ascii="仿宋" w:eastAsia="仿宋" w:hAnsi="仿宋" w:hint="eastAsia"/>
          <w:sz w:val="32"/>
          <w:szCs w:val="32"/>
        </w:rPr>
        <w:t>7</w:t>
      </w:r>
      <w:r>
        <w:rPr>
          <w:rFonts w:ascii="仿宋" w:eastAsia="仿宋" w:hAnsi="仿宋" w:hint="eastAsia"/>
          <w:sz w:val="32"/>
          <w:szCs w:val="32"/>
        </w:rPr>
        <w:t>日发布的《富安达基金管理有限公司关于召开富安达新动力灵活配置混合型证券投资基金基金份额持有人大会的公告》，基金管理人经与基金托管人协商一致，富安达新动力灵活配置混合型证券投资基金（以下简称“本基金”）以通讯方式</w:t>
      </w:r>
      <w:r>
        <w:rPr>
          <w:rFonts w:ascii="仿宋" w:eastAsia="仿宋" w:hAnsi="仿宋"/>
          <w:sz w:val="32"/>
          <w:szCs w:val="32"/>
        </w:rPr>
        <w:t>（纸质投票和网络投票）及其他方式（电话投票）</w:t>
      </w:r>
      <w:r>
        <w:rPr>
          <w:rFonts w:ascii="仿宋" w:eastAsia="仿宋" w:hAnsi="仿宋" w:hint="eastAsia"/>
          <w:sz w:val="32"/>
          <w:szCs w:val="32"/>
        </w:rPr>
        <w:t>召开了基金份额持有人大会，审议《关于终止富安达新动力灵活配置混合型证券投资基金基金合同有关事项的议案》，上述议案于</w:t>
      </w:r>
      <w:r>
        <w:rPr>
          <w:rFonts w:ascii="仿宋" w:eastAsia="仿宋" w:hAnsi="仿宋" w:hint="eastAsia"/>
          <w:sz w:val="32"/>
          <w:szCs w:val="32"/>
        </w:rPr>
        <w:t>2025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9</w:t>
      </w:r>
      <w:r>
        <w:rPr>
          <w:rFonts w:ascii="仿宋" w:eastAsia="仿宋" w:hAnsi="仿宋" w:hint="eastAsia"/>
          <w:sz w:val="32"/>
          <w:szCs w:val="32"/>
        </w:rPr>
        <w:t>日获得通过，持有人大会决议自该日起生效。根据基金管理人于</w:t>
      </w:r>
      <w:r>
        <w:rPr>
          <w:rFonts w:ascii="仿宋" w:eastAsia="仿宋" w:hAnsi="仿宋" w:hint="eastAsia"/>
          <w:sz w:val="32"/>
          <w:szCs w:val="32"/>
        </w:rPr>
        <w:t>2025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11</w:t>
      </w:r>
      <w:r>
        <w:rPr>
          <w:rFonts w:ascii="仿宋" w:eastAsia="仿宋" w:hAnsi="仿宋" w:hint="eastAsia"/>
          <w:sz w:val="32"/>
          <w:szCs w:val="32"/>
        </w:rPr>
        <w:t>日发布的《富安达基金管理有限公司富安达新动力灵活配置混合型证券投资基金基金份额持有人大会表决结果暨决议生效的公告》，本基金最后运作日为</w:t>
      </w:r>
      <w:r>
        <w:rPr>
          <w:rFonts w:ascii="仿宋" w:eastAsia="仿宋" w:hAnsi="仿宋" w:hint="eastAsia"/>
          <w:sz w:val="32"/>
          <w:szCs w:val="32"/>
        </w:rPr>
        <w:t>2025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10</w:t>
      </w:r>
      <w:r>
        <w:rPr>
          <w:rFonts w:ascii="仿宋" w:eastAsia="仿宋" w:hAnsi="仿宋" w:hint="eastAsia"/>
          <w:sz w:val="32"/>
          <w:szCs w:val="32"/>
        </w:rPr>
        <w:t>日。本基金从</w:t>
      </w:r>
      <w:r>
        <w:rPr>
          <w:rFonts w:ascii="仿宋" w:eastAsia="仿宋" w:hAnsi="仿宋" w:hint="eastAsia"/>
          <w:sz w:val="32"/>
          <w:szCs w:val="32"/>
        </w:rPr>
        <w:t>2025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11</w:t>
      </w:r>
      <w:r>
        <w:rPr>
          <w:rFonts w:ascii="仿宋" w:eastAsia="仿宋" w:hAnsi="仿宋" w:hint="eastAsia"/>
          <w:sz w:val="32"/>
          <w:szCs w:val="32"/>
        </w:rPr>
        <w:t>日起进入清算程序，清算期间为自</w:t>
      </w:r>
      <w:r>
        <w:rPr>
          <w:rFonts w:ascii="仿宋" w:eastAsia="仿宋" w:hAnsi="仿宋" w:hint="eastAsia"/>
          <w:sz w:val="32"/>
          <w:szCs w:val="32"/>
        </w:rPr>
        <w:t>2025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11</w:t>
      </w:r>
      <w:r>
        <w:rPr>
          <w:rFonts w:ascii="仿宋" w:eastAsia="仿宋" w:hAnsi="仿宋" w:hint="eastAsia"/>
          <w:sz w:val="32"/>
          <w:szCs w:val="32"/>
        </w:rPr>
        <w:t>日至</w:t>
      </w:r>
      <w:r>
        <w:rPr>
          <w:rFonts w:ascii="仿宋" w:eastAsia="仿宋" w:hAnsi="仿宋" w:hint="eastAsia"/>
          <w:sz w:val="32"/>
          <w:szCs w:val="32"/>
        </w:rPr>
        <w:t>2025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12</w:t>
      </w:r>
      <w:r>
        <w:rPr>
          <w:rFonts w:ascii="仿宋" w:eastAsia="仿宋" w:hAnsi="仿宋" w:hint="eastAsia"/>
          <w:sz w:val="32"/>
          <w:szCs w:val="32"/>
        </w:rPr>
        <w:t>日止。本基金清算报告已于</w:t>
      </w:r>
      <w:r>
        <w:rPr>
          <w:rFonts w:ascii="仿宋" w:eastAsia="仿宋" w:hAnsi="仿宋" w:hint="eastAsia"/>
          <w:sz w:val="32"/>
          <w:szCs w:val="32"/>
        </w:rPr>
        <w:t>2025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20</w:t>
      </w:r>
      <w:r>
        <w:rPr>
          <w:rFonts w:ascii="仿宋" w:eastAsia="仿宋" w:hAnsi="仿宋" w:hint="eastAsia"/>
          <w:sz w:val="32"/>
          <w:szCs w:val="32"/>
        </w:rPr>
        <w:t>日在基金管理人网站（</w:t>
      </w:r>
      <w:r>
        <w:rPr>
          <w:rFonts w:ascii="仿宋" w:eastAsia="仿宋" w:hAnsi="仿宋" w:hint="eastAsia"/>
          <w:sz w:val="32"/>
          <w:szCs w:val="32"/>
        </w:rPr>
        <w:t>https://www.fadfunds.com</w:t>
      </w:r>
      <w:r>
        <w:rPr>
          <w:rFonts w:ascii="仿宋" w:eastAsia="仿宋" w:hAnsi="仿宋" w:hint="eastAsia"/>
          <w:sz w:val="32"/>
          <w:szCs w:val="32"/>
        </w:rPr>
        <w:t>）和</w:t>
      </w:r>
      <w:r>
        <w:rPr>
          <w:rFonts w:ascii="仿宋" w:eastAsia="仿宋" w:hAnsi="仿宋" w:hint="eastAsia"/>
          <w:sz w:val="32"/>
          <w:szCs w:val="32"/>
        </w:rPr>
        <w:t xml:space="preserve"> </w:t>
      </w:r>
      <w:r>
        <w:rPr>
          <w:rFonts w:ascii="仿宋" w:eastAsia="仿宋" w:hAnsi="仿宋" w:hint="eastAsia"/>
          <w:sz w:val="32"/>
          <w:szCs w:val="32"/>
        </w:rPr>
        <w:t>中国证监会基金电子披露</w:t>
      </w:r>
      <w:r>
        <w:rPr>
          <w:rFonts w:ascii="仿宋" w:eastAsia="仿宋" w:hAnsi="仿宋" w:hint="eastAsia"/>
          <w:sz w:val="32"/>
          <w:szCs w:val="32"/>
        </w:rPr>
        <w:lastRenderedPageBreak/>
        <w:t>网站（</w:t>
      </w:r>
      <w:r>
        <w:rPr>
          <w:rFonts w:ascii="仿宋" w:eastAsia="仿宋" w:hAnsi="仿宋" w:hint="eastAsia"/>
          <w:sz w:val="32"/>
          <w:szCs w:val="32"/>
        </w:rPr>
        <w:t>http:/</w:t>
      </w:r>
      <w:r>
        <w:rPr>
          <w:rFonts w:ascii="仿宋" w:eastAsia="仿宋" w:hAnsi="仿宋" w:hint="eastAsia"/>
          <w:sz w:val="32"/>
          <w:szCs w:val="32"/>
        </w:rPr>
        <w:t>/eid.csrc.gov.cn/fund</w:t>
      </w:r>
      <w:r>
        <w:rPr>
          <w:rFonts w:ascii="仿宋" w:eastAsia="仿宋" w:hAnsi="仿宋" w:hint="eastAsia"/>
          <w:sz w:val="32"/>
          <w:szCs w:val="32"/>
        </w:rPr>
        <w:t>）披露。</w:t>
      </w:r>
      <w:r>
        <w:rPr>
          <w:rFonts w:ascii="仿宋" w:eastAsia="仿宋" w:hAnsi="仿宋" w:hint="eastAsia"/>
          <w:sz w:val="32"/>
          <w:szCs w:val="32"/>
        </w:rPr>
        <w:t xml:space="preserve"> </w:t>
      </w:r>
    </w:p>
    <w:p w:rsidR="00DC314E" w:rsidRDefault="00447A60">
      <w:pPr>
        <w:ind w:firstLineChars="200" w:firstLine="640"/>
        <w:rPr>
          <w:rFonts w:ascii="仿宋" w:eastAsia="仿宋" w:hAnsi="仿宋"/>
          <w:sz w:val="32"/>
          <w:szCs w:val="32"/>
        </w:rPr>
      </w:pPr>
      <w:r>
        <w:rPr>
          <w:rFonts w:ascii="仿宋" w:eastAsia="仿宋" w:hAnsi="仿宋" w:hint="eastAsia"/>
          <w:sz w:val="32"/>
          <w:szCs w:val="32"/>
        </w:rPr>
        <w:t>根据法律法规、本基金基金合同及清算报告的相关规定，本基金应分配剩余财产共计人民币</w:t>
      </w:r>
      <w:r>
        <w:rPr>
          <w:rFonts w:ascii="仿宋" w:eastAsia="仿宋" w:hAnsi="仿宋" w:hint="eastAsia"/>
          <w:sz w:val="32"/>
          <w:szCs w:val="32"/>
        </w:rPr>
        <w:t>7,601,218.27</w:t>
      </w:r>
      <w:r>
        <w:rPr>
          <w:rFonts w:ascii="仿宋" w:eastAsia="仿宋" w:hAnsi="仿宋" w:hint="eastAsia"/>
          <w:sz w:val="32"/>
          <w:szCs w:val="32"/>
        </w:rPr>
        <w:t>元，</w:t>
      </w:r>
      <w:r>
        <w:rPr>
          <w:rFonts w:ascii="仿宋" w:eastAsia="仿宋" w:hAnsi="仿宋"/>
          <w:sz w:val="32"/>
          <w:szCs w:val="32"/>
        </w:rPr>
        <w:t>将按本基金最后运作日各基金份额持有人持有的基金份额比例以现金方式进行分配</w:t>
      </w:r>
      <w:r>
        <w:rPr>
          <w:rFonts w:ascii="仿宋" w:eastAsia="仿宋" w:hAnsi="仿宋" w:hint="eastAsia"/>
          <w:sz w:val="32"/>
          <w:szCs w:val="32"/>
        </w:rPr>
        <w:t>，分配过程中产生的尾差亦将分配给基金份额持有人，上述资金将于</w:t>
      </w:r>
      <w:r>
        <w:rPr>
          <w:rFonts w:ascii="仿宋" w:eastAsia="仿宋" w:hAnsi="仿宋" w:hint="eastAsia"/>
          <w:sz w:val="32"/>
          <w:szCs w:val="32"/>
        </w:rPr>
        <w:t>2025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29</w:t>
      </w:r>
      <w:r>
        <w:rPr>
          <w:rFonts w:ascii="仿宋" w:eastAsia="仿宋" w:hAnsi="仿宋" w:hint="eastAsia"/>
          <w:sz w:val="32"/>
          <w:szCs w:val="32"/>
        </w:rPr>
        <w:t>日自本基金托管账户划出，具体款项到账时间以各销售机构为准。</w:t>
      </w:r>
      <w:r>
        <w:rPr>
          <w:rFonts w:ascii="仿宋" w:eastAsia="仿宋" w:hAnsi="仿宋" w:hint="eastAsia"/>
          <w:sz w:val="32"/>
          <w:szCs w:val="32"/>
        </w:rPr>
        <w:t xml:space="preserve"> </w:t>
      </w:r>
    </w:p>
    <w:p w:rsidR="00DC314E" w:rsidRDefault="00447A60">
      <w:pPr>
        <w:ind w:firstLineChars="200" w:firstLine="640"/>
        <w:rPr>
          <w:rFonts w:ascii="仿宋" w:eastAsia="仿宋" w:hAnsi="仿宋"/>
          <w:sz w:val="32"/>
          <w:szCs w:val="32"/>
        </w:rPr>
      </w:pPr>
      <w:r>
        <w:rPr>
          <w:rFonts w:ascii="仿宋" w:eastAsia="仿宋" w:hAnsi="仿宋" w:hint="eastAsia"/>
          <w:sz w:val="32"/>
          <w:szCs w:val="32"/>
        </w:rPr>
        <w:t>剩余财产全部分配完毕后，本基金管理人将按照法律法规及相关规定办理本基金的账户注销等业务。投资者可登录本基金管理人网站（</w:t>
      </w:r>
      <w:r>
        <w:rPr>
          <w:rFonts w:ascii="仿宋" w:eastAsia="仿宋" w:hAnsi="仿宋" w:hint="eastAsia"/>
          <w:sz w:val="32"/>
          <w:szCs w:val="32"/>
        </w:rPr>
        <w:t>https://w</w:t>
      </w:r>
      <w:r>
        <w:rPr>
          <w:rFonts w:ascii="仿宋" w:eastAsia="仿宋" w:hAnsi="仿宋" w:hint="eastAsia"/>
          <w:sz w:val="32"/>
          <w:szCs w:val="32"/>
        </w:rPr>
        <w:t>ww.fadfunds.com</w:t>
      </w:r>
      <w:r>
        <w:rPr>
          <w:rFonts w:ascii="仿宋" w:eastAsia="仿宋" w:hAnsi="仿宋" w:hint="eastAsia"/>
          <w:sz w:val="32"/>
          <w:szCs w:val="32"/>
        </w:rPr>
        <w:t>）或拨打本基金管理人客户服务电话（</w:t>
      </w:r>
      <w:r>
        <w:rPr>
          <w:rFonts w:ascii="仿宋" w:eastAsia="仿宋" w:hAnsi="仿宋" w:hint="eastAsia"/>
          <w:sz w:val="32"/>
          <w:szCs w:val="32"/>
        </w:rPr>
        <w:t>400-630-6999</w:t>
      </w:r>
      <w:r>
        <w:rPr>
          <w:rFonts w:ascii="仿宋" w:eastAsia="仿宋" w:hAnsi="仿宋" w:hint="eastAsia"/>
          <w:sz w:val="32"/>
          <w:szCs w:val="32"/>
        </w:rPr>
        <w:t>）了解相关事宜。</w:t>
      </w:r>
    </w:p>
    <w:p w:rsidR="00DC314E" w:rsidRDefault="00447A60">
      <w:pPr>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特此公告</w:t>
      </w:r>
      <w:r>
        <w:rPr>
          <w:rFonts w:ascii="仿宋" w:eastAsia="仿宋" w:hAnsi="仿宋" w:hint="eastAsia"/>
          <w:sz w:val="32"/>
          <w:szCs w:val="32"/>
        </w:rPr>
        <w:t xml:space="preserve"> </w:t>
      </w:r>
    </w:p>
    <w:p w:rsidR="00DC314E" w:rsidRDefault="00DC314E">
      <w:pPr>
        <w:ind w:firstLineChars="200" w:firstLine="640"/>
        <w:rPr>
          <w:rFonts w:ascii="仿宋" w:eastAsia="仿宋" w:hAnsi="仿宋"/>
          <w:sz w:val="32"/>
          <w:szCs w:val="32"/>
        </w:rPr>
      </w:pPr>
    </w:p>
    <w:p w:rsidR="00DC314E" w:rsidRDefault="00DC314E">
      <w:pPr>
        <w:ind w:firstLineChars="200" w:firstLine="640"/>
        <w:rPr>
          <w:rFonts w:ascii="仿宋" w:eastAsia="仿宋" w:hAnsi="仿宋"/>
          <w:sz w:val="32"/>
          <w:szCs w:val="32"/>
        </w:rPr>
      </w:pPr>
    </w:p>
    <w:p w:rsidR="00DC314E" w:rsidRDefault="00447A60">
      <w:pPr>
        <w:ind w:firstLineChars="200" w:firstLine="640"/>
        <w:jc w:val="right"/>
        <w:rPr>
          <w:rFonts w:ascii="仿宋" w:eastAsia="仿宋" w:hAnsi="仿宋"/>
          <w:sz w:val="32"/>
          <w:szCs w:val="32"/>
        </w:rPr>
      </w:pPr>
      <w:r>
        <w:rPr>
          <w:rFonts w:ascii="仿宋" w:eastAsia="仿宋" w:hAnsi="仿宋" w:hint="eastAsia"/>
          <w:sz w:val="32"/>
          <w:szCs w:val="32"/>
        </w:rPr>
        <w:t>富安达基金管理有限公司</w:t>
      </w:r>
      <w:r>
        <w:rPr>
          <w:rFonts w:ascii="仿宋" w:eastAsia="仿宋" w:hAnsi="仿宋" w:hint="eastAsia"/>
          <w:sz w:val="32"/>
          <w:szCs w:val="32"/>
        </w:rPr>
        <w:t xml:space="preserve"> </w:t>
      </w:r>
    </w:p>
    <w:p w:rsidR="00DC314E" w:rsidRDefault="00447A60">
      <w:pPr>
        <w:ind w:firstLineChars="200" w:firstLine="640"/>
        <w:jc w:val="right"/>
      </w:pPr>
      <w:r>
        <w:rPr>
          <w:rFonts w:ascii="仿宋" w:eastAsia="仿宋" w:hAnsi="仿宋" w:hint="eastAsia"/>
          <w:sz w:val="32"/>
          <w:szCs w:val="32"/>
        </w:rPr>
        <w:t>二〇二五年十二月二十五日</w:t>
      </w:r>
    </w:p>
    <w:sectPr w:rsidR="00DC314E" w:rsidSect="002E31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3F7" w:rsidRDefault="00D013F7" w:rsidP="008A65DF">
      <w:r>
        <w:separator/>
      </w:r>
    </w:p>
  </w:endnote>
  <w:endnote w:type="continuationSeparator" w:id="0">
    <w:p w:rsidR="00D013F7" w:rsidRDefault="00D013F7" w:rsidP="008A65D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3F7" w:rsidRDefault="00D013F7" w:rsidP="008A65DF">
      <w:r>
        <w:separator/>
      </w:r>
    </w:p>
  </w:footnote>
  <w:footnote w:type="continuationSeparator" w:id="0">
    <w:p w:rsidR="00D013F7" w:rsidRDefault="00D013F7" w:rsidP="008A65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characterSpacingControl w:val="doNotCompress"/>
  <w:hdrShapeDefaults>
    <o:shapedefaults v:ext="edit" spidmax="2050"/>
  </w:hdrShapeDefaults>
  <w:footnotePr>
    <w:footnote w:id="-1"/>
    <w:footnote w:id="0"/>
  </w:footnotePr>
  <w:endnotePr>
    <w:endnote w:id="-1"/>
    <w:endnote w:id="0"/>
  </w:endnotePr>
  <w:compat>
    <w:useFELayout/>
  </w:compat>
  <w:rsids>
    <w:rsidRoot w:val="003B4842"/>
    <w:rsid w:val="000524D3"/>
    <w:rsid w:val="00066CA5"/>
    <w:rsid w:val="000A45A1"/>
    <w:rsid w:val="000E48B0"/>
    <w:rsid w:val="00144A11"/>
    <w:rsid w:val="00172FD7"/>
    <w:rsid w:val="001F7C83"/>
    <w:rsid w:val="00280FFE"/>
    <w:rsid w:val="002E316B"/>
    <w:rsid w:val="002F6AA1"/>
    <w:rsid w:val="003B4842"/>
    <w:rsid w:val="003D0294"/>
    <w:rsid w:val="003D79A1"/>
    <w:rsid w:val="00447A60"/>
    <w:rsid w:val="004579DB"/>
    <w:rsid w:val="00461BCF"/>
    <w:rsid w:val="00462747"/>
    <w:rsid w:val="00467461"/>
    <w:rsid w:val="005F703D"/>
    <w:rsid w:val="00667347"/>
    <w:rsid w:val="006B134B"/>
    <w:rsid w:val="007403A9"/>
    <w:rsid w:val="007B29AF"/>
    <w:rsid w:val="00877771"/>
    <w:rsid w:val="008A65DF"/>
    <w:rsid w:val="008B13E8"/>
    <w:rsid w:val="00951853"/>
    <w:rsid w:val="009B0B91"/>
    <w:rsid w:val="009C325A"/>
    <w:rsid w:val="009C3331"/>
    <w:rsid w:val="009D697B"/>
    <w:rsid w:val="009D7DE2"/>
    <w:rsid w:val="009E4D62"/>
    <w:rsid w:val="00A44E55"/>
    <w:rsid w:val="00A61B3A"/>
    <w:rsid w:val="00B42C9F"/>
    <w:rsid w:val="00B61DDB"/>
    <w:rsid w:val="00B856B3"/>
    <w:rsid w:val="00C433FD"/>
    <w:rsid w:val="00D013F7"/>
    <w:rsid w:val="00D138BE"/>
    <w:rsid w:val="00D2203C"/>
    <w:rsid w:val="00DC314E"/>
    <w:rsid w:val="00E54027"/>
    <w:rsid w:val="00E757E0"/>
    <w:rsid w:val="00F47565"/>
    <w:rsid w:val="00F55A78"/>
    <w:rsid w:val="00FF0FE1"/>
    <w:rsid w:val="00FF6193"/>
    <w:rsid w:val="08E86521"/>
    <w:rsid w:val="67DF43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16B"/>
    <w:pPr>
      <w:widowControl w:val="0"/>
      <w:jc w:val="both"/>
    </w:pPr>
    <w:rPr>
      <w:kern w:val="2"/>
      <w:sz w:val="21"/>
      <w:szCs w:val="22"/>
    </w:rPr>
  </w:style>
  <w:style w:type="paragraph" w:styleId="1">
    <w:name w:val="heading 1"/>
    <w:basedOn w:val="a"/>
    <w:next w:val="a"/>
    <w:link w:val="1Char"/>
    <w:uiPriority w:val="9"/>
    <w:qFormat/>
    <w:rsid w:val="002E316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2E316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2E316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2E316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2E316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2E316B"/>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2E316B"/>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E316B"/>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2E316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2E316B"/>
    <w:pPr>
      <w:jc w:val="left"/>
    </w:pPr>
  </w:style>
  <w:style w:type="paragraph" w:styleId="a4">
    <w:name w:val="Subtitle"/>
    <w:basedOn w:val="a"/>
    <w:next w:val="a"/>
    <w:link w:val="Char0"/>
    <w:uiPriority w:val="11"/>
    <w:qFormat/>
    <w:rsid w:val="002E316B"/>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Char1"/>
    <w:uiPriority w:val="10"/>
    <w:qFormat/>
    <w:rsid w:val="002E316B"/>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sid w:val="002E316B"/>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2E316B"/>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2E316B"/>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2E316B"/>
    <w:rPr>
      <w:rFonts w:cstheme="majorBidi"/>
      <w:color w:val="0F4761" w:themeColor="accent1" w:themeShade="BF"/>
      <w:sz w:val="28"/>
      <w:szCs w:val="28"/>
    </w:rPr>
  </w:style>
  <w:style w:type="character" w:customStyle="1" w:styleId="5Char">
    <w:name w:val="标题 5 Char"/>
    <w:basedOn w:val="a0"/>
    <w:link w:val="5"/>
    <w:uiPriority w:val="9"/>
    <w:semiHidden/>
    <w:rsid w:val="002E316B"/>
    <w:rPr>
      <w:rFonts w:cstheme="majorBidi"/>
      <w:color w:val="0F4761" w:themeColor="accent1" w:themeShade="BF"/>
      <w:sz w:val="24"/>
      <w:szCs w:val="24"/>
    </w:rPr>
  </w:style>
  <w:style w:type="character" w:customStyle="1" w:styleId="6Char">
    <w:name w:val="标题 6 Char"/>
    <w:basedOn w:val="a0"/>
    <w:link w:val="6"/>
    <w:uiPriority w:val="9"/>
    <w:semiHidden/>
    <w:rsid w:val="002E316B"/>
    <w:rPr>
      <w:rFonts w:cstheme="majorBidi"/>
      <w:b/>
      <w:bCs/>
      <w:color w:val="0F4761" w:themeColor="accent1" w:themeShade="BF"/>
    </w:rPr>
  </w:style>
  <w:style w:type="character" w:customStyle="1" w:styleId="7Char">
    <w:name w:val="标题 7 Char"/>
    <w:basedOn w:val="a0"/>
    <w:link w:val="7"/>
    <w:uiPriority w:val="9"/>
    <w:semiHidden/>
    <w:rsid w:val="002E316B"/>
    <w:rPr>
      <w:rFonts w:cstheme="majorBidi"/>
      <w:b/>
      <w:bCs/>
      <w:color w:val="595959" w:themeColor="text1" w:themeTint="A6"/>
    </w:rPr>
  </w:style>
  <w:style w:type="character" w:customStyle="1" w:styleId="8Char">
    <w:name w:val="标题 8 Char"/>
    <w:basedOn w:val="a0"/>
    <w:link w:val="8"/>
    <w:uiPriority w:val="9"/>
    <w:semiHidden/>
    <w:rsid w:val="002E316B"/>
    <w:rPr>
      <w:rFonts w:cstheme="majorBidi"/>
      <w:color w:val="595959" w:themeColor="text1" w:themeTint="A6"/>
    </w:rPr>
  </w:style>
  <w:style w:type="character" w:customStyle="1" w:styleId="9Char">
    <w:name w:val="标题 9 Char"/>
    <w:basedOn w:val="a0"/>
    <w:link w:val="9"/>
    <w:uiPriority w:val="9"/>
    <w:semiHidden/>
    <w:rsid w:val="002E316B"/>
    <w:rPr>
      <w:rFonts w:eastAsiaTheme="majorEastAsia" w:cstheme="majorBidi"/>
      <w:color w:val="595959" w:themeColor="text1" w:themeTint="A6"/>
    </w:rPr>
  </w:style>
  <w:style w:type="character" w:customStyle="1" w:styleId="Char1">
    <w:name w:val="标题 Char"/>
    <w:basedOn w:val="a0"/>
    <w:link w:val="a5"/>
    <w:uiPriority w:val="10"/>
    <w:rsid w:val="002E316B"/>
    <w:rPr>
      <w:rFonts w:asciiTheme="majorHAnsi" w:eastAsiaTheme="majorEastAsia" w:hAnsiTheme="majorHAnsi" w:cstheme="majorBidi"/>
      <w:spacing w:val="-10"/>
      <w:kern w:val="28"/>
      <w:sz w:val="56"/>
      <w:szCs w:val="56"/>
    </w:rPr>
  </w:style>
  <w:style w:type="character" w:customStyle="1" w:styleId="Char0">
    <w:name w:val="副标题 Char"/>
    <w:basedOn w:val="a0"/>
    <w:link w:val="a4"/>
    <w:uiPriority w:val="11"/>
    <w:rsid w:val="002E316B"/>
    <w:rPr>
      <w:rFonts w:asciiTheme="majorHAnsi" w:eastAsiaTheme="majorEastAsia" w:hAnsiTheme="majorHAnsi" w:cstheme="majorBidi"/>
      <w:color w:val="595959" w:themeColor="text1" w:themeTint="A6"/>
      <w:spacing w:val="15"/>
      <w:sz w:val="28"/>
      <w:szCs w:val="28"/>
    </w:rPr>
  </w:style>
  <w:style w:type="paragraph" w:styleId="a6">
    <w:name w:val="Quote"/>
    <w:basedOn w:val="a"/>
    <w:next w:val="a"/>
    <w:link w:val="Char2"/>
    <w:uiPriority w:val="29"/>
    <w:qFormat/>
    <w:rsid w:val="002E316B"/>
    <w:pPr>
      <w:spacing w:before="160" w:after="160"/>
      <w:jc w:val="center"/>
    </w:pPr>
    <w:rPr>
      <w:i/>
      <w:iCs/>
      <w:color w:val="404040" w:themeColor="text1" w:themeTint="BF"/>
    </w:rPr>
  </w:style>
  <w:style w:type="character" w:customStyle="1" w:styleId="Char2">
    <w:name w:val="引用 Char"/>
    <w:basedOn w:val="a0"/>
    <w:link w:val="a6"/>
    <w:uiPriority w:val="29"/>
    <w:rsid w:val="002E316B"/>
    <w:rPr>
      <w:i/>
      <w:iCs/>
      <w:color w:val="404040" w:themeColor="text1" w:themeTint="BF"/>
    </w:rPr>
  </w:style>
  <w:style w:type="paragraph" w:styleId="a7">
    <w:name w:val="List Paragraph"/>
    <w:basedOn w:val="a"/>
    <w:uiPriority w:val="34"/>
    <w:qFormat/>
    <w:rsid w:val="002E316B"/>
    <w:pPr>
      <w:ind w:left="720"/>
      <w:contextualSpacing/>
    </w:pPr>
  </w:style>
  <w:style w:type="character" w:customStyle="1" w:styleId="10">
    <w:name w:val="明显强调1"/>
    <w:basedOn w:val="a0"/>
    <w:uiPriority w:val="21"/>
    <w:qFormat/>
    <w:rsid w:val="002E316B"/>
    <w:rPr>
      <w:i/>
      <w:iCs/>
      <w:color w:val="0F4761" w:themeColor="accent1" w:themeShade="BF"/>
    </w:rPr>
  </w:style>
  <w:style w:type="paragraph" w:styleId="a8">
    <w:name w:val="Intense Quote"/>
    <w:basedOn w:val="a"/>
    <w:next w:val="a"/>
    <w:link w:val="Char3"/>
    <w:uiPriority w:val="30"/>
    <w:qFormat/>
    <w:rsid w:val="002E3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明显引用 Char"/>
    <w:basedOn w:val="a0"/>
    <w:link w:val="a8"/>
    <w:uiPriority w:val="30"/>
    <w:rsid w:val="002E316B"/>
    <w:rPr>
      <w:i/>
      <w:iCs/>
      <w:color w:val="0F4761" w:themeColor="accent1" w:themeShade="BF"/>
    </w:rPr>
  </w:style>
  <w:style w:type="character" w:customStyle="1" w:styleId="11">
    <w:name w:val="明显参考1"/>
    <w:basedOn w:val="a0"/>
    <w:uiPriority w:val="32"/>
    <w:qFormat/>
    <w:rsid w:val="002E316B"/>
    <w:rPr>
      <w:b/>
      <w:bCs/>
      <w:smallCaps/>
      <w:color w:val="0F4761" w:themeColor="accent1" w:themeShade="BF"/>
      <w:spacing w:val="5"/>
    </w:rPr>
  </w:style>
  <w:style w:type="character" w:styleId="a9">
    <w:name w:val="annotation reference"/>
    <w:basedOn w:val="a0"/>
    <w:uiPriority w:val="99"/>
    <w:semiHidden/>
    <w:unhideWhenUsed/>
    <w:rsid w:val="002E316B"/>
    <w:rPr>
      <w:sz w:val="21"/>
      <w:szCs w:val="21"/>
    </w:rPr>
  </w:style>
  <w:style w:type="paragraph" w:styleId="aa">
    <w:name w:val="Revision"/>
    <w:hidden/>
    <w:uiPriority w:val="99"/>
    <w:unhideWhenUsed/>
    <w:rsid w:val="00D2203C"/>
    <w:rPr>
      <w:kern w:val="2"/>
      <w:sz w:val="21"/>
      <w:szCs w:val="22"/>
    </w:rPr>
  </w:style>
  <w:style w:type="paragraph" w:styleId="ab">
    <w:name w:val="annotation subject"/>
    <w:basedOn w:val="a3"/>
    <w:next w:val="a3"/>
    <w:link w:val="Char4"/>
    <w:uiPriority w:val="99"/>
    <w:semiHidden/>
    <w:unhideWhenUsed/>
    <w:rsid w:val="000E48B0"/>
    <w:rPr>
      <w:b/>
      <w:bCs/>
    </w:rPr>
  </w:style>
  <w:style w:type="character" w:customStyle="1" w:styleId="Char">
    <w:name w:val="批注文字 Char"/>
    <w:basedOn w:val="a0"/>
    <w:link w:val="a3"/>
    <w:uiPriority w:val="99"/>
    <w:semiHidden/>
    <w:rsid w:val="000E48B0"/>
    <w:rPr>
      <w:kern w:val="2"/>
      <w:sz w:val="21"/>
      <w:szCs w:val="22"/>
    </w:rPr>
  </w:style>
  <w:style w:type="character" w:customStyle="1" w:styleId="Char4">
    <w:name w:val="批注主题 Char"/>
    <w:basedOn w:val="Char"/>
    <w:link w:val="ab"/>
    <w:uiPriority w:val="99"/>
    <w:semiHidden/>
    <w:rsid w:val="000E48B0"/>
    <w:rPr>
      <w:b/>
      <w:bCs/>
      <w:kern w:val="2"/>
      <w:sz w:val="21"/>
      <w:szCs w:val="22"/>
    </w:rPr>
  </w:style>
  <w:style w:type="character" w:styleId="ac">
    <w:name w:val="Hyperlink"/>
    <w:basedOn w:val="a0"/>
    <w:uiPriority w:val="99"/>
    <w:unhideWhenUsed/>
    <w:rsid w:val="009D697B"/>
    <w:rPr>
      <w:color w:val="467886" w:themeColor="hyperlink"/>
      <w:u w:val="single"/>
    </w:rPr>
  </w:style>
  <w:style w:type="character" w:customStyle="1" w:styleId="UnresolvedMention">
    <w:name w:val="Unresolved Mention"/>
    <w:basedOn w:val="a0"/>
    <w:uiPriority w:val="99"/>
    <w:semiHidden/>
    <w:unhideWhenUsed/>
    <w:rsid w:val="009D697B"/>
    <w:rPr>
      <w:color w:val="605E5C"/>
      <w:shd w:val="clear" w:color="auto" w:fill="E1DFDD"/>
    </w:rPr>
  </w:style>
  <w:style w:type="paragraph" w:styleId="ad">
    <w:name w:val="header"/>
    <w:basedOn w:val="a"/>
    <w:link w:val="Char5"/>
    <w:uiPriority w:val="99"/>
    <w:unhideWhenUsed/>
    <w:rsid w:val="008A65DF"/>
    <w:pPr>
      <w:tabs>
        <w:tab w:val="center" w:pos="4153"/>
        <w:tab w:val="right" w:pos="8306"/>
      </w:tabs>
      <w:snapToGrid w:val="0"/>
      <w:jc w:val="center"/>
    </w:pPr>
    <w:rPr>
      <w:sz w:val="18"/>
      <w:szCs w:val="18"/>
    </w:rPr>
  </w:style>
  <w:style w:type="character" w:customStyle="1" w:styleId="Char5">
    <w:name w:val="页眉 Char"/>
    <w:basedOn w:val="a0"/>
    <w:link w:val="ad"/>
    <w:uiPriority w:val="99"/>
    <w:rsid w:val="008A65DF"/>
    <w:rPr>
      <w:kern w:val="2"/>
      <w:sz w:val="18"/>
      <w:szCs w:val="18"/>
    </w:rPr>
  </w:style>
  <w:style w:type="paragraph" w:styleId="ae">
    <w:name w:val="footer"/>
    <w:basedOn w:val="a"/>
    <w:link w:val="Char6"/>
    <w:uiPriority w:val="99"/>
    <w:unhideWhenUsed/>
    <w:rsid w:val="008A65DF"/>
    <w:pPr>
      <w:tabs>
        <w:tab w:val="center" w:pos="4153"/>
        <w:tab w:val="right" w:pos="8306"/>
      </w:tabs>
      <w:snapToGrid w:val="0"/>
      <w:jc w:val="left"/>
    </w:pPr>
    <w:rPr>
      <w:sz w:val="18"/>
      <w:szCs w:val="18"/>
    </w:rPr>
  </w:style>
  <w:style w:type="character" w:customStyle="1" w:styleId="Char6">
    <w:name w:val="页脚 Char"/>
    <w:basedOn w:val="a0"/>
    <w:link w:val="ae"/>
    <w:uiPriority w:val="99"/>
    <w:rsid w:val="008A65D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754</Characters>
  <Application>Microsoft Office Word</Application>
  <DocSecurity>4</DocSecurity>
  <Lines>6</Lines>
  <Paragraphs>1</Paragraphs>
  <ScaleCrop>false</ScaleCrop>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X徐欢</dc:creator>
  <cp:lastModifiedBy>ZHONGM</cp:lastModifiedBy>
  <cp:revision>2</cp:revision>
  <dcterms:created xsi:type="dcterms:W3CDTF">2025-12-24T16:01:00Z</dcterms:created>
  <dcterms:modified xsi:type="dcterms:W3CDTF">2025-12-24T16:01:00Z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eyJoZGlkIjoiMWM5YjE1NWU1ZTQ2MzUzOTU1ZGNlMThjYzA4NmNkYjMifQ==</vt:lpwstr>
  </property>
  <property fmtid="{D5CDD505-2E9C-101B-9397-08002B2CF9AE}" pid="3" name="KSOProductBuildVer">
    <vt:lpwstr>2052-12.1.0.22529</vt:lpwstr>
  </property>
  <property fmtid="{D5CDD505-2E9C-101B-9397-08002B2CF9AE}" pid="4" name="ICV">
    <vt:lpwstr>58677EA48CDF462CBD5BE511EE77C226_12</vt:lpwstr>
  </property>
</Properties>
</file>