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64" w:rsidRDefault="00736093">
      <w:pPr>
        <w:pStyle w:val="Default"/>
        <w:spacing w:line="360" w:lineRule="auto"/>
        <w:jc w:val="center"/>
        <w:rPr>
          <w:rFonts w:ascii="Times New Roman" w:eastAsia="宋体" w:hAnsi="Times New Roman" w:cs="Times New Roman"/>
          <w:b/>
        </w:rPr>
      </w:pPr>
      <w:bookmarkStart w:id="0" w:name="_GoBack"/>
      <w:bookmarkEnd w:id="0"/>
      <w:r>
        <w:rPr>
          <w:rFonts w:ascii="Times New Roman" w:eastAsia="宋体" w:hAnsi="Times New Roman" w:cs="Times New Roman"/>
          <w:b/>
        </w:rPr>
        <w:t>平安广州交投广河</w:t>
      </w:r>
      <w:r>
        <w:rPr>
          <w:rFonts w:ascii="Times New Roman" w:eastAsia="宋体" w:hAnsi="Times New Roman" w:cs="Times New Roman" w:hint="eastAsia"/>
          <w:b/>
        </w:rPr>
        <w:t>高速公路</w:t>
      </w:r>
      <w:r>
        <w:rPr>
          <w:rFonts w:ascii="Times New Roman" w:eastAsia="宋体" w:hAnsi="Times New Roman" w:cs="Times New Roman"/>
          <w:b/>
        </w:rPr>
        <w:t>封闭式基础设施证券投资基金</w:t>
      </w:r>
    </w:p>
    <w:p w:rsidR="00DA3864" w:rsidRDefault="00736093">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hint="eastAsia"/>
          <w:b/>
        </w:rPr>
        <w:t>五</w:t>
      </w:r>
      <w:r>
        <w:rPr>
          <w:rFonts w:ascii="Times New Roman" w:eastAsia="宋体" w:hAnsi="Times New Roman" w:cs="Times New Roman"/>
          <w:b/>
        </w:rPr>
        <w:t>年</w:t>
      </w:r>
      <w:r>
        <w:rPr>
          <w:rFonts w:ascii="Times New Roman" w:eastAsia="宋体" w:hAnsi="Times New Roman" w:cs="Times New Roman" w:hint="eastAsia"/>
          <w:b/>
        </w:rPr>
        <w:t>十一</w:t>
      </w:r>
      <w:r>
        <w:rPr>
          <w:rFonts w:ascii="Times New Roman" w:eastAsia="宋体" w:hAnsi="Times New Roman" w:cs="Times New Roman" w:hint="eastAsia"/>
          <w:b/>
        </w:rPr>
        <w:t>月</w:t>
      </w:r>
      <w:r>
        <w:rPr>
          <w:rFonts w:ascii="Times New Roman" w:eastAsia="宋体" w:hAnsi="Times New Roman" w:cs="Times New Roman"/>
          <w:b/>
        </w:rPr>
        <w:t>主要运营数据的公告</w:t>
      </w:r>
    </w:p>
    <w:p w:rsidR="00DA3864" w:rsidRDefault="00736093">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hint="eastAsia"/>
          <w:b/>
        </w:rPr>
        <w:t>2</w:t>
      </w:r>
      <w:r>
        <w:rPr>
          <w:rFonts w:ascii="Times New Roman" w:eastAsia="宋体" w:hAnsi="Times New Roman" w:cs="Times New Roman"/>
          <w:b/>
        </w:rPr>
        <w:t>02</w:t>
      </w:r>
      <w:r>
        <w:rPr>
          <w:rFonts w:ascii="Times New Roman" w:eastAsia="宋体" w:hAnsi="Times New Roman" w:cs="Times New Roman" w:hint="eastAsia"/>
          <w:b/>
        </w:rPr>
        <w:t>5</w:t>
      </w:r>
      <w:r>
        <w:rPr>
          <w:rFonts w:ascii="Times New Roman" w:eastAsia="宋体" w:hAnsi="Times New Roman" w:cs="Times New Roman" w:hint="eastAsia"/>
          <w:b/>
        </w:rPr>
        <w:t>年</w:t>
      </w:r>
      <w:r>
        <w:rPr>
          <w:rFonts w:ascii="Times New Roman" w:eastAsia="宋体" w:hAnsi="Times New Roman" w:cs="Times New Roman" w:hint="eastAsia"/>
          <w:b/>
        </w:rPr>
        <w:t>12</w:t>
      </w:r>
      <w:r>
        <w:rPr>
          <w:rFonts w:ascii="Times New Roman" w:eastAsia="宋体" w:hAnsi="Times New Roman" w:cs="Times New Roman" w:hint="eastAsia"/>
          <w:b/>
        </w:rPr>
        <w:t>月</w:t>
      </w:r>
      <w:r>
        <w:rPr>
          <w:rFonts w:ascii="Times New Roman" w:eastAsia="宋体" w:hAnsi="Times New Roman" w:cs="Times New Roman" w:hint="eastAsia"/>
          <w:b/>
        </w:rPr>
        <w:t>25</w:t>
      </w:r>
      <w:r>
        <w:rPr>
          <w:rFonts w:ascii="Times New Roman" w:eastAsia="宋体" w:hAnsi="Times New Roman" w:cs="Times New Roman" w:hint="eastAsia"/>
          <w:b/>
        </w:rPr>
        <w:t>日</w:t>
      </w:r>
      <w:r>
        <w:rPr>
          <w:rFonts w:ascii="Times New Roman" w:eastAsia="宋体" w:hAnsi="Times New Roman" w:cs="Times New Roman"/>
          <w:b/>
        </w:rPr>
        <w:t xml:space="preserve"> </w:t>
      </w:r>
    </w:p>
    <w:p w:rsidR="00DA3864" w:rsidRDefault="00DA3864">
      <w:pPr>
        <w:pStyle w:val="Default"/>
        <w:spacing w:line="360" w:lineRule="auto"/>
        <w:jc w:val="center"/>
        <w:rPr>
          <w:rFonts w:ascii="Times New Roman" w:eastAsia="宋体" w:hAnsi="Times New Roman" w:cs="Times New Roman"/>
          <w:b/>
        </w:rPr>
      </w:pPr>
    </w:p>
    <w:p w:rsidR="00DA3864" w:rsidRDefault="00736093">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2779"/>
        <w:gridCol w:w="6087"/>
      </w:tblGrid>
      <w:tr w:rsidR="00DA3864">
        <w:trPr>
          <w:trHeight w:val="27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名称</w:t>
            </w:r>
          </w:p>
        </w:tc>
        <w:tc>
          <w:tcPr>
            <w:tcW w:w="6087" w:type="dxa"/>
            <w:vAlign w:val="center"/>
          </w:tcPr>
          <w:p w:rsidR="00DA3864" w:rsidRDefault="00736093">
            <w:pPr>
              <w:spacing w:line="360" w:lineRule="auto"/>
              <w:rPr>
                <w:rFonts w:ascii="宋体" w:eastAsia="宋体" w:hAnsi="宋体" w:cs="Times New Roman"/>
                <w:szCs w:val="21"/>
              </w:rPr>
            </w:pPr>
            <w:r>
              <w:rPr>
                <w:rFonts w:ascii="宋体" w:eastAsia="宋体" w:hAnsi="宋体" w:hint="eastAsia"/>
              </w:rPr>
              <w:t>平安广州交投广河</w:t>
            </w:r>
            <w:r>
              <w:rPr>
                <w:rFonts w:ascii="宋体" w:eastAsia="宋体" w:hAnsi="宋体" w:cs="Times New Roman"/>
                <w:szCs w:val="21"/>
              </w:rPr>
              <w:t>高速公路封闭式基础设施证券投资基金</w:t>
            </w:r>
          </w:p>
        </w:tc>
      </w:tr>
      <w:tr w:rsidR="00DA3864">
        <w:trPr>
          <w:trHeight w:val="31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简称</w:t>
            </w:r>
          </w:p>
        </w:tc>
        <w:tc>
          <w:tcPr>
            <w:tcW w:w="6087" w:type="dxa"/>
            <w:vAlign w:val="center"/>
          </w:tcPr>
          <w:p w:rsidR="00DA3864" w:rsidRDefault="00736093">
            <w:pPr>
              <w:spacing w:line="360" w:lineRule="auto"/>
              <w:rPr>
                <w:rFonts w:ascii="宋体" w:eastAsia="宋体" w:hAnsi="宋体" w:cs="Times New Roman"/>
                <w:szCs w:val="21"/>
              </w:rPr>
            </w:pPr>
            <w:r>
              <w:rPr>
                <w:rFonts w:ascii="宋体" w:eastAsia="宋体" w:hAnsi="宋体" w:hint="eastAsia"/>
              </w:rPr>
              <w:t>平安广交投广河高速</w:t>
            </w:r>
            <w:r>
              <w:rPr>
                <w:rFonts w:ascii="宋体" w:eastAsia="宋体" w:hAnsi="宋体"/>
              </w:rPr>
              <w:t>REIT</w:t>
            </w:r>
          </w:p>
        </w:tc>
      </w:tr>
      <w:tr w:rsidR="00DA3864">
        <w:trPr>
          <w:trHeight w:val="31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场内简称</w:t>
            </w:r>
          </w:p>
        </w:tc>
        <w:tc>
          <w:tcPr>
            <w:tcW w:w="6087" w:type="dxa"/>
            <w:vAlign w:val="center"/>
          </w:tcPr>
          <w:p w:rsidR="00DA3864" w:rsidRDefault="00736093">
            <w:pPr>
              <w:spacing w:line="360" w:lineRule="auto"/>
              <w:rPr>
                <w:rFonts w:ascii="宋体" w:eastAsia="宋体" w:hAnsi="宋体" w:cs="Times New Roman"/>
                <w:szCs w:val="21"/>
              </w:rPr>
            </w:pPr>
            <w:r>
              <w:rPr>
                <w:rFonts w:ascii="宋体" w:eastAsia="宋体" w:hAnsi="宋体" w:hint="eastAsia"/>
              </w:rPr>
              <w:t>平安广州广河</w:t>
            </w:r>
            <w:r>
              <w:rPr>
                <w:rFonts w:ascii="宋体" w:eastAsia="宋体" w:hAnsi="宋体" w:cs="Times New Roman"/>
                <w:szCs w:val="21"/>
              </w:rPr>
              <w:t>REIT</w:t>
            </w:r>
          </w:p>
        </w:tc>
      </w:tr>
      <w:tr w:rsidR="00DA3864">
        <w:trPr>
          <w:trHeight w:val="31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代码</w:t>
            </w:r>
          </w:p>
        </w:tc>
        <w:tc>
          <w:tcPr>
            <w:tcW w:w="6087"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18020</w:t>
            </w:r>
            <w:r>
              <w:rPr>
                <w:rFonts w:ascii="宋体" w:eastAsia="宋体" w:hAnsi="宋体" w:cs="Times New Roman" w:hint="eastAsia"/>
                <w:szCs w:val="21"/>
              </w:rPr>
              <w:t>1</w:t>
            </w:r>
          </w:p>
        </w:tc>
      </w:tr>
      <w:tr w:rsidR="00DA3864">
        <w:trPr>
          <w:trHeight w:val="31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合同生效日期</w:t>
            </w:r>
          </w:p>
        </w:tc>
        <w:tc>
          <w:tcPr>
            <w:tcW w:w="6087"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2021</w:t>
            </w:r>
            <w:r>
              <w:rPr>
                <w:rFonts w:ascii="宋体" w:eastAsia="宋体" w:hAnsi="宋体" w:cs="Times New Roman"/>
                <w:szCs w:val="21"/>
              </w:rPr>
              <w:t>年</w:t>
            </w:r>
            <w:r>
              <w:rPr>
                <w:rFonts w:ascii="宋体" w:eastAsia="宋体" w:hAnsi="宋体" w:cs="Times New Roman" w:hint="eastAsia"/>
                <w:szCs w:val="21"/>
              </w:rPr>
              <w:t>6</w:t>
            </w:r>
            <w:r>
              <w:rPr>
                <w:rFonts w:ascii="宋体" w:eastAsia="宋体" w:hAnsi="宋体" w:cs="Times New Roman"/>
                <w:szCs w:val="21"/>
              </w:rPr>
              <w:t>月</w:t>
            </w:r>
            <w:r>
              <w:rPr>
                <w:rFonts w:ascii="宋体" w:eastAsia="宋体" w:hAnsi="宋体" w:cs="Times New Roman" w:hint="eastAsia"/>
                <w:szCs w:val="21"/>
              </w:rPr>
              <w:t>7</w:t>
            </w:r>
            <w:r>
              <w:rPr>
                <w:rFonts w:ascii="宋体" w:eastAsia="宋体" w:hAnsi="宋体" w:cs="Times New Roman"/>
                <w:szCs w:val="21"/>
              </w:rPr>
              <w:t>日</w:t>
            </w:r>
          </w:p>
        </w:tc>
      </w:tr>
      <w:tr w:rsidR="00DA3864">
        <w:trPr>
          <w:trHeight w:val="31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基金管理人名称</w:t>
            </w:r>
          </w:p>
        </w:tc>
        <w:tc>
          <w:tcPr>
            <w:tcW w:w="6087" w:type="dxa"/>
          </w:tcPr>
          <w:p w:rsidR="00DA3864" w:rsidRDefault="00736093">
            <w:pPr>
              <w:spacing w:line="360" w:lineRule="auto"/>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tc>
      </w:tr>
      <w:tr w:rsidR="00DA3864">
        <w:trPr>
          <w:trHeight w:val="319"/>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基金托管人名称</w:t>
            </w:r>
          </w:p>
        </w:tc>
        <w:tc>
          <w:tcPr>
            <w:tcW w:w="6087" w:type="dxa"/>
          </w:tcPr>
          <w:p w:rsidR="00DA3864" w:rsidRDefault="00736093">
            <w:pPr>
              <w:spacing w:line="360" w:lineRule="auto"/>
              <w:rPr>
                <w:rFonts w:ascii="宋体" w:eastAsia="宋体" w:hAnsi="宋体" w:cs="Times New Roman"/>
                <w:szCs w:val="21"/>
              </w:rPr>
            </w:pPr>
            <w:r>
              <w:rPr>
                <w:rFonts w:ascii="宋体" w:eastAsia="宋体" w:hAnsi="宋体" w:hint="eastAsia"/>
              </w:rPr>
              <w:t>中国工商银行</w:t>
            </w:r>
            <w:r>
              <w:rPr>
                <w:rFonts w:ascii="宋体" w:eastAsia="宋体" w:hAnsi="宋体" w:cs="Times New Roman" w:hint="eastAsia"/>
                <w:szCs w:val="21"/>
              </w:rPr>
              <w:t>股份有限公司</w:t>
            </w:r>
          </w:p>
        </w:tc>
      </w:tr>
      <w:tr w:rsidR="00DA3864">
        <w:trPr>
          <w:trHeight w:val="300"/>
          <w:jc w:val="center"/>
        </w:trPr>
        <w:tc>
          <w:tcPr>
            <w:tcW w:w="2779" w:type="dxa"/>
          </w:tcPr>
          <w:p w:rsidR="00DA3864" w:rsidRDefault="00736093">
            <w:pPr>
              <w:spacing w:line="360" w:lineRule="auto"/>
              <w:rPr>
                <w:rFonts w:ascii="宋体" w:eastAsia="宋体" w:hAnsi="宋体" w:cs="Times New Roman"/>
                <w:szCs w:val="21"/>
              </w:rPr>
            </w:pPr>
            <w:r>
              <w:rPr>
                <w:rFonts w:ascii="宋体" w:eastAsia="宋体" w:hAnsi="宋体" w:cs="Times New Roman"/>
                <w:szCs w:val="21"/>
              </w:rPr>
              <w:t>公告依据</w:t>
            </w:r>
          </w:p>
        </w:tc>
        <w:tc>
          <w:tcPr>
            <w:tcW w:w="6087" w:type="dxa"/>
          </w:tcPr>
          <w:p w:rsidR="00DA3864" w:rsidRDefault="00736093">
            <w:pPr>
              <w:spacing w:line="360" w:lineRule="auto"/>
              <w:rPr>
                <w:rFonts w:ascii="宋体" w:eastAsia="宋体" w:hAnsi="宋体" w:cs="Times New Roman"/>
                <w:szCs w:val="21"/>
              </w:rPr>
            </w:pPr>
            <w:r>
              <w:rPr>
                <w:rFonts w:ascii="宋体" w:eastAsia="宋体" w:hAnsi="宋体" w:cs="Times New Roman" w:hint="eastAsia"/>
                <w:szCs w:val="21"/>
              </w:rPr>
              <w:t>《中华人民共和国证券投资基金法》及其配套法规、《公开募集基础设施证券投资基金指引（试行）》</w:t>
            </w:r>
            <w:r>
              <w:rPr>
                <w:rFonts w:ascii="宋体" w:eastAsia="宋体" w:hAnsi="宋体" w:cs="Times New Roman"/>
                <w:szCs w:val="21"/>
              </w:rPr>
              <w:t>、</w:t>
            </w:r>
            <w:r>
              <w:rPr>
                <w:rFonts w:ascii="宋体" w:eastAsia="宋体" w:hAnsi="宋体" w:cs="Times New Roman" w:hint="eastAsia"/>
                <w:szCs w:val="21"/>
              </w:rPr>
              <w:t>《深圳证券交易所公开募集基础设施证券投资基金业务办法（试行）》、《深圳证券交易所公开募集基础设施证券投资基金业务指引第</w:t>
            </w:r>
            <w:r>
              <w:rPr>
                <w:rFonts w:ascii="宋体" w:eastAsia="宋体" w:hAnsi="宋体" w:cs="Times New Roman" w:hint="eastAsia"/>
                <w:szCs w:val="21"/>
              </w:rPr>
              <w:t>5</w:t>
            </w:r>
            <w:r>
              <w:rPr>
                <w:rFonts w:ascii="宋体" w:eastAsia="宋体" w:hAnsi="宋体" w:cs="Times New Roman" w:hint="eastAsia"/>
                <w:szCs w:val="21"/>
              </w:rPr>
              <w:t>号——临时报告（试行）》</w:t>
            </w:r>
            <w:r>
              <w:rPr>
                <w:rFonts w:ascii="宋体" w:eastAsia="宋体" w:hAnsi="宋体" w:cs="Times New Roman"/>
                <w:szCs w:val="21"/>
              </w:rPr>
              <w:t>等有关规定以及《</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封闭式基础设施证券投资基金基金合同》、《</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封闭式基础设施证券投资基金招募说明书》</w:t>
            </w:r>
            <w:r>
              <w:rPr>
                <w:rFonts w:ascii="宋体" w:eastAsia="宋体" w:hAnsi="宋体" w:cs="Times New Roman" w:hint="eastAsia"/>
                <w:szCs w:val="21"/>
              </w:rPr>
              <w:t>及其更新</w:t>
            </w:r>
          </w:p>
        </w:tc>
      </w:tr>
    </w:tbl>
    <w:p w:rsidR="00DA3864" w:rsidRDefault="00736093" w:rsidP="00736093">
      <w:pPr>
        <w:pStyle w:val="aa"/>
        <w:numPr>
          <w:ilvl w:val="0"/>
          <w:numId w:val="1"/>
        </w:numPr>
        <w:snapToGrid w:val="0"/>
        <w:spacing w:beforeLines="50" w:line="360" w:lineRule="auto"/>
        <w:ind w:firstLineChars="0"/>
        <w:outlineLvl w:val="0"/>
        <w:rPr>
          <w:rFonts w:ascii="宋体" w:eastAsia="宋体" w:hAnsi="宋体" w:cs="Times New Roman"/>
          <w:b/>
          <w:sz w:val="24"/>
          <w:szCs w:val="24"/>
        </w:rPr>
      </w:pPr>
      <w:r>
        <w:rPr>
          <w:rFonts w:ascii="宋体" w:eastAsia="宋体" w:hAnsi="宋体" w:cs="Times New Roman"/>
          <w:b/>
          <w:sz w:val="24"/>
          <w:szCs w:val="24"/>
        </w:rPr>
        <w:t>202</w:t>
      </w:r>
      <w:r>
        <w:rPr>
          <w:rFonts w:ascii="宋体" w:eastAsia="宋体" w:hAnsi="宋体" w:cs="Times New Roman" w:hint="eastAsia"/>
          <w:b/>
          <w:sz w:val="24"/>
          <w:szCs w:val="24"/>
        </w:rPr>
        <w:t>5</w:t>
      </w:r>
      <w:r>
        <w:rPr>
          <w:rFonts w:ascii="宋体" w:eastAsia="宋体" w:hAnsi="宋体" w:cs="Times New Roman" w:hint="eastAsia"/>
          <w:b/>
          <w:sz w:val="24"/>
          <w:szCs w:val="24"/>
        </w:rPr>
        <w:t>年</w:t>
      </w:r>
      <w:r>
        <w:rPr>
          <w:rFonts w:ascii="宋体" w:eastAsia="宋体" w:hAnsi="宋体" w:cs="Times New Roman" w:hint="eastAsia"/>
          <w:b/>
          <w:sz w:val="24"/>
          <w:szCs w:val="24"/>
        </w:rPr>
        <w:t>11</w:t>
      </w:r>
      <w:r>
        <w:rPr>
          <w:rFonts w:ascii="宋体" w:eastAsia="宋体" w:hAnsi="宋体" w:cs="Times New Roman" w:hint="eastAsia"/>
          <w:b/>
          <w:sz w:val="24"/>
          <w:szCs w:val="24"/>
        </w:rPr>
        <w:t>月</w:t>
      </w:r>
      <w:r>
        <w:rPr>
          <w:rFonts w:ascii="宋体" w:eastAsia="宋体" w:hAnsi="宋体" w:cs="Times New Roman"/>
          <w:b/>
          <w:sz w:val="24"/>
          <w:szCs w:val="24"/>
        </w:rPr>
        <w:t>主要运营数据</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本基金以获取基础设施项目</w:t>
      </w:r>
      <w:r>
        <w:rPr>
          <w:rFonts w:ascii="宋体" w:eastAsia="宋体" w:hAnsi="宋体" w:cs="Times New Roman" w:hint="eastAsia"/>
          <w:sz w:val="24"/>
          <w:szCs w:val="24"/>
        </w:rPr>
        <w:t>收费</w:t>
      </w:r>
      <w:r>
        <w:rPr>
          <w:rFonts w:ascii="宋体" w:eastAsia="宋体" w:hAnsi="宋体" w:cs="Times New Roman"/>
          <w:sz w:val="24"/>
          <w:szCs w:val="24"/>
        </w:rPr>
        <w:t>等稳定现金流为主要目的，通过积极主动运营管理基础设施项目，力求提升基础设施项目的运营收益水平，实现基础设施项目现金流长期稳健增长。</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5</w:t>
      </w:r>
      <w:r>
        <w:rPr>
          <w:rFonts w:ascii="宋体" w:eastAsia="宋体" w:hAnsi="宋体" w:cs="Times New Roman"/>
          <w:sz w:val="24"/>
          <w:szCs w:val="24"/>
        </w:rPr>
        <w:t>年</w:t>
      </w:r>
      <w:r>
        <w:rPr>
          <w:rFonts w:ascii="宋体" w:eastAsia="宋体" w:hAnsi="宋体" w:cs="Times New Roman" w:hint="eastAsia"/>
          <w:sz w:val="24"/>
          <w:szCs w:val="24"/>
        </w:rPr>
        <w:t>11</w:t>
      </w:r>
      <w:r>
        <w:rPr>
          <w:rFonts w:ascii="宋体" w:eastAsia="宋体" w:hAnsi="宋体" w:cs="Times New Roman" w:hint="eastAsia"/>
          <w:sz w:val="24"/>
          <w:szCs w:val="24"/>
        </w:rPr>
        <w:t>月</w:t>
      </w:r>
      <w:r>
        <w:rPr>
          <w:rFonts w:ascii="宋体" w:eastAsia="宋体" w:hAnsi="宋体" w:cs="Times New Roman"/>
          <w:sz w:val="24"/>
          <w:szCs w:val="24"/>
        </w:rPr>
        <w:t>，基础设施项目公司整体运营情况良好，无安全生产事故</w:t>
      </w:r>
      <w:r>
        <w:rPr>
          <w:rFonts w:ascii="宋体" w:eastAsia="宋体" w:hAnsi="宋体" w:cs="Times New Roman" w:hint="eastAsia"/>
          <w:sz w:val="24"/>
          <w:szCs w:val="24"/>
        </w:rPr>
        <w:t>，本高速公路通行费收入来源分散，无重要现金流提供方</w:t>
      </w:r>
      <w:r>
        <w:rPr>
          <w:rFonts w:ascii="宋体" w:eastAsia="宋体" w:hAnsi="宋体" w:cs="Times New Roman"/>
          <w:sz w:val="24"/>
          <w:szCs w:val="24"/>
        </w:rPr>
        <w:t>，外部管理机构未发生变动。</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11</w:t>
      </w:r>
      <w:r>
        <w:rPr>
          <w:rFonts w:ascii="宋体" w:eastAsia="宋体" w:hAnsi="宋体" w:cs="Times New Roman" w:hint="eastAsia"/>
          <w:sz w:val="24"/>
          <w:szCs w:val="24"/>
        </w:rPr>
        <w:t>月</w:t>
      </w:r>
      <w:r>
        <w:rPr>
          <w:rFonts w:ascii="宋体" w:eastAsia="宋体" w:hAnsi="宋体" w:cs="Times New Roman" w:hint="eastAsia"/>
          <w:sz w:val="24"/>
          <w:szCs w:val="24"/>
        </w:rPr>
        <w:t>1</w:t>
      </w:r>
      <w:r>
        <w:rPr>
          <w:rFonts w:ascii="宋体" w:eastAsia="宋体" w:hAnsi="宋体" w:cs="Times New Roman" w:hint="eastAsia"/>
          <w:sz w:val="24"/>
          <w:szCs w:val="24"/>
        </w:rPr>
        <w:t>日至</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11</w:t>
      </w:r>
      <w:r>
        <w:rPr>
          <w:rFonts w:ascii="宋体" w:eastAsia="宋体" w:hAnsi="宋体" w:cs="Times New Roman" w:hint="eastAsia"/>
          <w:sz w:val="24"/>
          <w:szCs w:val="24"/>
        </w:rPr>
        <w:t>月</w:t>
      </w:r>
      <w:r>
        <w:rPr>
          <w:rFonts w:ascii="宋体" w:eastAsia="宋体" w:hAnsi="宋体" w:cs="Times New Roman" w:hint="eastAsia"/>
          <w:sz w:val="24"/>
          <w:szCs w:val="24"/>
        </w:rPr>
        <w:t>30</w:t>
      </w:r>
      <w:r>
        <w:rPr>
          <w:rFonts w:ascii="宋体" w:eastAsia="宋体" w:hAnsi="宋体" w:cs="Times New Roman" w:hint="eastAsia"/>
          <w:sz w:val="24"/>
          <w:szCs w:val="24"/>
        </w:rPr>
        <w:t>日</w:t>
      </w:r>
      <w:r>
        <w:rPr>
          <w:rFonts w:ascii="宋体" w:eastAsia="宋体" w:hAnsi="宋体" w:cs="Times New Roman"/>
          <w:sz w:val="24"/>
          <w:szCs w:val="24"/>
        </w:rPr>
        <w:t>期间</w:t>
      </w:r>
      <w:r>
        <w:rPr>
          <w:rFonts w:ascii="宋体" w:eastAsia="宋体" w:hAnsi="宋体" w:cs="Times New Roman" w:hint="eastAsia"/>
          <w:sz w:val="24"/>
          <w:szCs w:val="24"/>
        </w:rPr>
        <w:t>，广河高速公路广州段项目</w:t>
      </w:r>
      <w:r>
        <w:rPr>
          <w:rFonts w:ascii="宋体" w:eastAsia="宋体" w:hAnsi="宋体" w:cs="Times New Roman"/>
          <w:sz w:val="24"/>
          <w:szCs w:val="24"/>
        </w:rPr>
        <w:t>主要运营数据如下：</w:t>
      </w: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DA3864">
        <w:trPr>
          <w:trHeight w:val="120"/>
          <w:jc w:val="center"/>
        </w:trPr>
        <w:tc>
          <w:tcPr>
            <w:tcW w:w="913" w:type="dxa"/>
            <w:vMerge w:val="restart"/>
            <w:vAlign w:val="center"/>
          </w:tcPr>
          <w:p w:rsidR="00DA3864" w:rsidRDefault="00736093">
            <w:pPr>
              <w:pStyle w:val="TableParagraph"/>
              <w:spacing w:before="0" w:line="326" w:lineRule="exact"/>
              <w:ind w:left="118" w:right="0"/>
              <w:jc w:val="center"/>
              <w:rPr>
                <w:rFonts w:ascii="宋体" w:eastAsia="宋体" w:hAnsi="宋体"/>
                <w:b/>
                <w:sz w:val="21"/>
                <w:szCs w:val="21"/>
              </w:rPr>
            </w:pPr>
            <w:r>
              <w:rPr>
                <w:rFonts w:ascii="宋体" w:eastAsia="宋体" w:hAnsi="宋体" w:hint="eastAsia"/>
                <w:b/>
                <w:color w:val="231F20"/>
                <w:w w:val="90"/>
                <w:sz w:val="21"/>
                <w:szCs w:val="21"/>
                <w:lang w:eastAsia="zh-CN"/>
              </w:rPr>
              <w:t>项目</w:t>
            </w:r>
          </w:p>
        </w:tc>
        <w:tc>
          <w:tcPr>
            <w:tcW w:w="4471" w:type="dxa"/>
            <w:gridSpan w:val="5"/>
            <w:vAlign w:val="center"/>
          </w:tcPr>
          <w:p w:rsidR="00DA3864" w:rsidRDefault="00736093">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日均收费车流量（辆次）</w:t>
            </w:r>
          </w:p>
        </w:tc>
        <w:tc>
          <w:tcPr>
            <w:tcW w:w="3969" w:type="dxa"/>
            <w:gridSpan w:val="5"/>
            <w:vAlign w:val="center"/>
          </w:tcPr>
          <w:p w:rsidR="00DA3864" w:rsidRDefault="00736093">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路费收入（人民币，万元，含增值税）</w:t>
            </w:r>
          </w:p>
        </w:tc>
      </w:tr>
      <w:tr w:rsidR="00DA3864">
        <w:trPr>
          <w:trHeight w:val="240"/>
          <w:jc w:val="center"/>
        </w:trPr>
        <w:tc>
          <w:tcPr>
            <w:tcW w:w="913" w:type="dxa"/>
            <w:vMerge/>
            <w:vAlign w:val="center"/>
          </w:tcPr>
          <w:p w:rsidR="00DA3864" w:rsidRDefault="00DA3864">
            <w:pPr>
              <w:jc w:val="center"/>
              <w:rPr>
                <w:rFonts w:ascii="宋体" w:eastAsia="宋体" w:hAnsi="宋体" w:cs="Times New Roman"/>
                <w:kern w:val="0"/>
                <w:szCs w:val="21"/>
              </w:rPr>
            </w:pPr>
          </w:p>
        </w:tc>
        <w:tc>
          <w:tcPr>
            <w:tcW w:w="872" w:type="dxa"/>
            <w:vAlign w:val="center"/>
          </w:tcPr>
          <w:p w:rsidR="00DA3864" w:rsidRDefault="00736093">
            <w:pPr>
              <w:pStyle w:val="TableParagraph"/>
              <w:spacing w:before="0" w:line="326" w:lineRule="exact"/>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09" w:type="dxa"/>
            <w:vAlign w:val="center"/>
          </w:tcPr>
          <w:p w:rsidR="00DA3864" w:rsidRDefault="00736093">
            <w:pPr>
              <w:pStyle w:val="TableParagraph"/>
              <w:spacing w:before="14"/>
              <w:ind w:right="98"/>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DA3864" w:rsidRDefault="00736093">
            <w:pPr>
              <w:pStyle w:val="TableParagraph"/>
              <w:spacing w:before="14"/>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33" w:type="dxa"/>
            <w:shd w:val="clear" w:color="auto" w:fill="auto"/>
            <w:vAlign w:val="center"/>
          </w:tcPr>
          <w:p w:rsidR="00DA3864" w:rsidRDefault="00736093">
            <w:pPr>
              <w:pStyle w:val="TableParagraph"/>
              <w:spacing w:before="14"/>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DA3864" w:rsidRDefault="00736093">
            <w:pPr>
              <w:pStyle w:val="TableParagraph"/>
              <w:spacing w:before="15" w:line="326" w:lineRule="exact"/>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1141" w:type="dxa"/>
            <w:shd w:val="clear" w:color="auto" w:fill="auto"/>
            <w:vAlign w:val="center"/>
          </w:tcPr>
          <w:p w:rsidR="00DA3864" w:rsidRDefault="00736093">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4"/>
                <w:w w:val="80"/>
                <w:sz w:val="21"/>
                <w:szCs w:val="21"/>
                <w:lang w:val="en-US" w:eastAsia="zh-CN"/>
              </w:rPr>
              <w:t>5</w:t>
            </w:r>
            <w:r>
              <w:rPr>
                <w:rFonts w:ascii="宋体" w:eastAsia="宋体" w:hAnsi="宋体" w:hint="eastAsia"/>
                <w:b/>
                <w:color w:val="231F20"/>
                <w:spacing w:val="-17"/>
                <w:w w:val="80"/>
                <w:sz w:val="21"/>
                <w:szCs w:val="21"/>
                <w:lang w:eastAsia="zh-CN"/>
              </w:rPr>
              <w:t xml:space="preserve"> </w:t>
            </w:r>
            <w:r>
              <w:rPr>
                <w:rFonts w:ascii="宋体" w:eastAsia="宋体" w:hAnsi="宋体" w:hint="eastAsia"/>
                <w:b/>
                <w:color w:val="231F20"/>
                <w:w w:val="80"/>
                <w:sz w:val="21"/>
                <w:szCs w:val="21"/>
                <w:lang w:eastAsia="zh-CN"/>
              </w:rPr>
              <w:t>年</w:t>
            </w:r>
          </w:p>
          <w:p w:rsidR="00DA3864" w:rsidRDefault="00736093">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816" w:type="dxa"/>
            <w:shd w:val="clear" w:color="auto" w:fill="auto"/>
            <w:vAlign w:val="center"/>
          </w:tcPr>
          <w:p w:rsidR="00DA3864" w:rsidRDefault="00736093">
            <w:pPr>
              <w:pStyle w:val="TableParagraph"/>
              <w:spacing w:before="14"/>
              <w:ind w:right="99"/>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DA3864" w:rsidRDefault="00736093">
            <w:pPr>
              <w:pStyle w:val="TableParagraph"/>
              <w:spacing w:before="15" w:line="326" w:lineRule="exact"/>
              <w:ind w:right="99"/>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08" w:type="dxa"/>
            <w:shd w:val="clear" w:color="auto" w:fill="auto"/>
            <w:vAlign w:val="center"/>
          </w:tcPr>
          <w:p w:rsidR="00DA3864" w:rsidRDefault="00736093">
            <w:pPr>
              <w:pStyle w:val="TableParagraph"/>
              <w:spacing w:before="0" w:line="326" w:lineRule="exact"/>
              <w:ind w:right="100"/>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51" w:type="dxa"/>
            <w:vAlign w:val="center"/>
          </w:tcPr>
          <w:p w:rsidR="00DA3864" w:rsidRDefault="00736093">
            <w:pPr>
              <w:pStyle w:val="TableParagraph"/>
              <w:spacing w:before="14"/>
              <w:ind w:right="101"/>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DA3864" w:rsidRDefault="00736093">
            <w:pPr>
              <w:pStyle w:val="TableParagraph"/>
              <w:spacing w:before="14"/>
              <w:ind w:right="100"/>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50" w:type="dxa"/>
            <w:shd w:val="clear" w:color="auto" w:fill="auto"/>
            <w:vAlign w:val="center"/>
          </w:tcPr>
          <w:p w:rsidR="00DA3864" w:rsidRDefault="00736093">
            <w:pPr>
              <w:pStyle w:val="TableParagraph"/>
              <w:spacing w:before="14"/>
              <w:ind w:right="100"/>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DA3864" w:rsidRDefault="00736093">
            <w:pPr>
              <w:pStyle w:val="TableParagraph"/>
              <w:spacing w:before="15" w:line="326" w:lineRule="exact"/>
              <w:ind w:right="100"/>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65" w:type="dxa"/>
            <w:vAlign w:val="center"/>
          </w:tcPr>
          <w:p w:rsidR="00DA3864" w:rsidRDefault="00736093">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17"/>
                <w:w w:val="80"/>
                <w:sz w:val="21"/>
                <w:szCs w:val="21"/>
                <w:lang w:val="en-US" w:eastAsia="zh-CN"/>
              </w:rPr>
              <w:t>5</w:t>
            </w:r>
            <w:r>
              <w:rPr>
                <w:rFonts w:ascii="宋体" w:eastAsia="宋体" w:hAnsi="宋体" w:hint="eastAsia"/>
                <w:b/>
                <w:color w:val="231F20"/>
                <w:w w:val="80"/>
                <w:sz w:val="21"/>
                <w:szCs w:val="21"/>
                <w:lang w:eastAsia="zh-CN"/>
              </w:rPr>
              <w:t>年</w:t>
            </w:r>
          </w:p>
          <w:p w:rsidR="00DA3864" w:rsidRDefault="00736093">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795" w:type="dxa"/>
            <w:vAlign w:val="center"/>
          </w:tcPr>
          <w:p w:rsidR="00DA3864" w:rsidRDefault="00736093">
            <w:pPr>
              <w:pStyle w:val="TableParagraph"/>
              <w:spacing w:before="14"/>
              <w:ind w:right="102"/>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DA3864" w:rsidRDefault="00736093">
            <w:pPr>
              <w:pStyle w:val="TableParagraph"/>
              <w:spacing w:before="15" w:line="326" w:lineRule="exact"/>
              <w:ind w:right="102"/>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r>
      <w:tr w:rsidR="00DA3864">
        <w:trPr>
          <w:trHeight w:val="231"/>
          <w:jc w:val="center"/>
        </w:trPr>
        <w:tc>
          <w:tcPr>
            <w:tcW w:w="913" w:type="dxa"/>
            <w:vAlign w:val="center"/>
          </w:tcPr>
          <w:p w:rsidR="00DA3864" w:rsidRDefault="00736093">
            <w:pPr>
              <w:pStyle w:val="TableParagraph"/>
              <w:spacing w:before="13" w:line="326" w:lineRule="exact"/>
              <w:ind w:left="118" w:right="0"/>
              <w:jc w:val="center"/>
              <w:rPr>
                <w:rFonts w:ascii="宋体" w:eastAsia="宋体" w:hAnsi="宋体"/>
                <w:b/>
                <w:color w:val="231F20"/>
                <w:w w:val="90"/>
                <w:sz w:val="21"/>
                <w:szCs w:val="21"/>
                <w:lang w:eastAsia="zh-CN"/>
              </w:rPr>
            </w:pPr>
            <w:r>
              <w:rPr>
                <w:rFonts w:ascii="宋体" w:eastAsia="宋体" w:hAnsi="宋体" w:hint="eastAsia"/>
                <w:b/>
                <w:color w:val="231F20"/>
                <w:w w:val="90"/>
                <w:sz w:val="21"/>
                <w:szCs w:val="21"/>
                <w:lang w:val="en-US" w:eastAsia="zh-CN"/>
              </w:rPr>
              <w:lastRenderedPageBreak/>
              <w:t>广河</w:t>
            </w:r>
            <w:r>
              <w:rPr>
                <w:rFonts w:ascii="宋体" w:eastAsia="宋体" w:hAnsi="宋体" w:hint="eastAsia"/>
                <w:b/>
                <w:color w:val="231F20"/>
                <w:w w:val="90"/>
                <w:sz w:val="21"/>
                <w:szCs w:val="21"/>
                <w:lang w:eastAsia="zh-CN"/>
              </w:rPr>
              <w:t>高速</w:t>
            </w:r>
          </w:p>
          <w:p w:rsidR="00DA3864" w:rsidRDefault="00736093">
            <w:pPr>
              <w:pStyle w:val="TableParagraph"/>
              <w:spacing w:before="13" w:line="326" w:lineRule="exact"/>
              <w:ind w:left="118" w:right="0"/>
              <w:jc w:val="center"/>
              <w:rPr>
                <w:rFonts w:ascii="宋体" w:eastAsia="宋体" w:hAnsi="宋体"/>
                <w:b/>
                <w:sz w:val="21"/>
                <w:szCs w:val="21"/>
                <w:lang w:val="en-US"/>
              </w:rPr>
            </w:pPr>
            <w:r>
              <w:rPr>
                <w:rFonts w:ascii="宋体" w:eastAsia="宋体" w:hAnsi="宋体" w:hint="eastAsia"/>
                <w:b/>
                <w:color w:val="231F20"/>
                <w:w w:val="90"/>
                <w:sz w:val="21"/>
                <w:szCs w:val="21"/>
                <w:lang w:val="en-US" w:eastAsia="zh-CN"/>
              </w:rPr>
              <w:t>广州段</w:t>
            </w:r>
          </w:p>
        </w:tc>
        <w:tc>
          <w:tcPr>
            <w:tcW w:w="872"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139,016 </w:t>
            </w:r>
          </w:p>
        </w:tc>
        <w:tc>
          <w:tcPr>
            <w:tcW w:w="809" w:type="dxa"/>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27.26%</w:t>
            </w:r>
          </w:p>
        </w:tc>
        <w:tc>
          <w:tcPr>
            <w:tcW w:w="833"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-3.45%</w:t>
            </w:r>
          </w:p>
        </w:tc>
        <w:tc>
          <w:tcPr>
            <w:tcW w:w="1141"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135,810 </w:t>
            </w:r>
          </w:p>
        </w:tc>
        <w:tc>
          <w:tcPr>
            <w:tcW w:w="816"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-0.75%</w:t>
            </w:r>
          </w:p>
        </w:tc>
        <w:tc>
          <w:tcPr>
            <w:tcW w:w="708"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6,166 </w:t>
            </w:r>
          </w:p>
        </w:tc>
        <w:tc>
          <w:tcPr>
            <w:tcW w:w="851" w:type="dxa"/>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17.86%</w:t>
            </w:r>
          </w:p>
        </w:tc>
        <w:tc>
          <w:tcPr>
            <w:tcW w:w="850"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-3.10%</w:t>
            </w:r>
          </w:p>
        </w:tc>
        <w:tc>
          <w:tcPr>
            <w:tcW w:w="765"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 xml:space="preserve">68,381 </w:t>
            </w:r>
          </w:p>
        </w:tc>
        <w:tc>
          <w:tcPr>
            <w:tcW w:w="795" w:type="dxa"/>
            <w:shd w:val="clear" w:color="auto" w:fill="auto"/>
            <w:vAlign w:val="center"/>
          </w:tcPr>
          <w:p w:rsidR="00DA3864" w:rsidRDefault="00736093">
            <w:pPr>
              <w:widowControl/>
              <w:jc w:val="center"/>
              <w:textAlignment w:val="center"/>
              <w:rPr>
                <w:rFonts w:ascii="Times New Roman" w:eastAsia="方正楷体_GB2312" w:hAnsi="Times New Roman" w:cs="Times New Roman"/>
                <w:color w:val="000000"/>
                <w:kern w:val="0"/>
                <w:sz w:val="22"/>
                <w:highlight w:val="yellow"/>
                <w:lang/>
              </w:rPr>
            </w:pPr>
            <w:r>
              <w:rPr>
                <w:rFonts w:ascii="Times New Roman" w:eastAsia="方正楷体_GB2312" w:hAnsi="Times New Roman" w:cs="Times New Roman"/>
                <w:color w:val="000000"/>
                <w:kern w:val="0"/>
                <w:sz w:val="22"/>
                <w:lang/>
              </w:rPr>
              <w:t>-1.95%</w:t>
            </w:r>
          </w:p>
        </w:tc>
      </w:tr>
    </w:tbl>
    <w:p w:rsidR="00DA3864" w:rsidRDefault="00736093">
      <w:pPr>
        <w:pStyle w:val="2"/>
        <w:spacing w:before="27"/>
        <w:ind w:left="0" w:right="0" w:firstLineChars="200" w:firstLine="482"/>
        <w:jc w:val="both"/>
        <w:rPr>
          <w:rFonts w:ascii="宋体" w:eastAsia="宋体" w:hAnsi="宋体"/>
          <w:color w:val="231F20"/>
          <w:lang w:eastAsia="zh-CN"/>
        </w:rPr>
      </w:pPr>
      <w:r>
        <w:rPr>
          <w:rFonts w:ascii="宋体" w:eastAsia="宋体" w:hAnsi="宋体" w:hint="eastAsia"/>
          <w:color w:val="231F20"/>
          <w:lang w:eastAsia="zh-CN"/>
        </w:rPr>
        <w:t>备注：</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、日均收费车流量计算方法：当月总收费车流量</w:t>
      </w:r>
      <w:r>
        <w:rPr>
          <w:rFonts w:ascii="宋体" w:eastAsia="宋体" w:hAnsi="宋体" w:cs="Times New Roman" w:hint="eastAsia"/>
          <w:sz w:val="24"/>
          <w:szCs w:val="24"/>
        </w:rPr>
        <w:t>/</w:t>
      </w:r>
      <w:r>
        <w:rPr>
          <w:rFonts w:ascii="宋体" w:eastAsia="宋体" w:hAnsi="宋体" w:cs="Times New Roman" w:hint="eastAsia"/>
          <w:sz w:val="24"/>
          <w:szCs w:val="24"/>
        </w:rPr>
        <w:t>当月自然天数；</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、收费车流量口径说明：均为自然车流（</w:t>
      </w:r>
      <w:r>
        <w:rPr>
          <w:rFonts w:ascii="宋体" w:eastAsia="宋体" w:hAnsi="宋体" w:cs="Times New Roman" w:hint="eastAsia"/>
          <w:sz w:val="24"/>
          <w:szCs w:val="24"/>
        </w:rPr>
        <w:t>veh</w:t>
      </w:r>
      <w:r>
        <w:rPr>
          <w:rFonts w:ascii="宋体" w:eastAsia="宋体" w:hAnsi="宋体" w:cs="Times New Roman" w:hint="eastAsia"/>
          <w:sz w:val="24"/>
          <w:szCs w:val="24"/>
        </w:rPr>
        <w:t>）口径；</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、以上为广东省联网收费清分结算机构提供的当期清分数据，未经审计，最终以经审计后的数据为准。</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以上披露内容已经过本项目运营管理实施机构广州高速运营管理有限公司确认。</w:t>
      </w:r>
    </w:p>
    <w:p w:rsidR="00DA3864" w:rsidRDefault="00736093" w:rsidP="00736093">
      <w:pPr>
        <w:pStyle w:val="aa"/>
        <w:numPr>
          <w:ilvl w:val="0"/>
          <w:numId w:val="1"/>
        </w:numPr>
        <w:snapToGrid w:val="0"/>
        <w:spacing w:beforeLines="50" w:line="360" w:lineRule="auto"/>
        <w:ind w:firstLineChars="0"/>
        <w:outlineLvl w:val="0"/>
        <w:rPr>
          <w:rFonts w:ascii="宋体" w:eastAsia="宋体" w:hAnsi="宋体" w:cs="Times New Roman"/>
          <w:b/>
          <w:sz w:val="24"/>
          <w:szCs w:val="24"/>
        </w:rPr>
      </w:pPr>
      <w:r>
        <w:rPr>
          <w:rFonts w:ascii="宋体" w:eastAsia="宋体" w:hAnsi="宋体" w:cs="Times New Roman" w:hint="eastAsia"/>
          <w:b/>
          <w:sz w:val="24"/>
          <w:szCs w:val="24"/>
        </w:rPr>
        <w:t>其他说明事项</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投资者可登陆平安基金管理有限公司网站</w:t>
      </w:r>
      <w:r>
        <w:rPr>
          <w:rFonts w:ascii="宋体" w:eastAsia="宋体" w:hAnsi="宋体" w:cs="Times New Roman" w:hint="eastAsia"/>
          <w:sz w:val="24"/>
          <w:szCs w:val="24"/>
        </w:rPr>
        <w:t>fund.pingan.com</w:t>
      </w:r>
      <w:r>
        <w:rPr>
          <w:rFonts w:ascii="宋体" w:eastAsia="宋体" w:hAnsi="宋体" w:cs="Times New Roman" w:hint="eastAsia"/>
          <w:sz w:val="24"/>
          <w:szCs w:val="24"/>
        </w:rPr>
        <w:t>或拨打客户服务电话：</w:t>
      </w:r>
      <w:r>
        <w:rPr>
          <w:rFonts w:ascii="宋体" w:eastAsia="宋体" w:hAnsi="宋体" w:cs="Times New Roman" w:hint="eastAsia"/>
          <w:sz w:val="24"/>
          <w:szCs w:val="24"/>
        </w:rPr>
        <w:t>400-800-4800</w:t>
      </w:r>
      <w:r>
        <w:rPr>
          <w:rFonts w:ascii="宋体" w:eastAsia="宋体" w:hAnsi="宋体" w:cs="Times New Roman" w:hint="eastAsia"/>
          <w:sz w:val="24"/>
          <w:szCs w:val="24"/>
        </w:rPr>
        <w:t>进行相关咨询。</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截至目前，本基金投资运作正常，无应披露而未披露的重大信息，基金管理人将严格按照法律法规及基金合同的规定进行投资运作，履行信息披露义务。</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基金管理人承诺以诚实信用、勤勉尽责的原则管理和运用基金资产，但不保证基金一定盈利，也不保证最低收益。</w:t>
      </w:r>
      <w:r>
        <w:rPr>
          <w:rFonts w:ascii="宋体" w:eastAsia="宋体" w:hAnsi="宋体" w:cs="Times New Roman" w:hint="eastAsia"/>
          <w:sz w:val="24"/>
          <w:szCs w:val="24"/>
        </w:rPr>
        <w:t>基金的过往业绩及其净值高低并不预示其未来业绩表现。基金管理人提醒</w:t>
      </w:r>
      <w:r>
        <w:rPr>
          <w:rFonts w:ascii="宋体" w:eastAsia="宋体" w:hAnsi="宋体" w:cs="Times New Roman" w:hint="eastAsia"/>
          <w:sz w:val="24"/>
          <w:szCs w:val="24"/>
        </w:rPr>
        <w:t>投资者基金投资的“买者自负”原则，在做出投资决策后，基金运营状况与基金净值变化引致的投资风险，由投资者自行负担。</w:t>
      </w:r>
      <w:r>
        <w:rPr>
          <w:rFonts w:ascii="宋体" w:eastAsia="宋体" w:hAnsi="宋体" w:cs="Times New Roman"/>
          <w:sz w:val="24"/>
          <w:szCs w:val="24"/>
        </w:rPr>
        <w:t>销售机构根据法规要求对投资者类别、风险承受能力和基金的风险等级进行划分，并提出适当性匹配意见。投资者在投资</w:t>
      </w:r>
      <w:r>
        <w:rPr>
          <w:rFonts w:ascii="宋体" w:eastAsia="宋体" w:hAnsi="宋体" w:cs="Times New Roman" w:hint="eastAsia"/>
          <w:sz w:val="24"/>
          <w:szCs w:val="24"/>
        </w:rPr>
        <w:t>本</w:t>
      </w:r>
      <w:r>
        <w:rPr>
          <w:rFonts w:ascii="宋体" w:eastAsia="宋体" w:hAnsi="宋体" w:cs="Times New Roman"/>
          <w:sz w:val="24"/>
          <w:szCs w:val="24"/>
        </w:rPr>
        <w:t>基金前</w:t>
      </w:r>
      <w:r>
        <w:rPr>
          <w:rFonts w:ascii="宋体" w:eastAsia="宋体" w:hAnsi="宋体" w:cs="Times New Roman" w:hint="eastAsia"/>
          <w:sz w:val="24"/>
          <w:szCs w:val="24"/>
        </w:rPr>
        <w:t>，应当认真阅读本基金基金合同、招募说明书、基金产品资料概要等法律文件，</w:t>
      </w:r>
      <w:r>
        <w:rPr>
          <w:rFonts w:ascii="宋体" w:eastAsia="宋体" w:hAnsi="宋体" w:cs="Times New Roman"/>
          <w:sz w:val="24"/>
          <w:szCs w:val="24"/>
        </w:rPr>
        <w:t>全面认识</w:t>
      </w:r>
      <w:r>
        <w:rPr>
          <w:rFonts w:ascii="宋体" w:eastAsia="宋体" w:hAnsi="宋体" w:cs="Times New Roman" w:hint="eastAsia"/>
          <w:sz w:val="24"/>
          <w:szCs w:val="24"/>
        </w:rPr>
        <w:t>本</w:t>
      </w:r>
      <w:r>
        <w:rPr>
          <w:rFonts w:ascii="宋体" w:eastAsia="宋体" w:hAnsi="宋体" w:cs="Times New Roman"/>
          <w:sz w:val="24"/>
          <w:szCs w:val="24"/>
        </w:rPr>
        <w:t>基金的风险收益特征</w:t>
      </w:r>
      <w:r>
        <w:rPr>
          <w:rFonts w:ascii="宋体" w:eastAsia="宋体" w:hAnsi="宋体" w:cs="Times New Roman" w:hint="eastAsia"/>
          <w:sz w:val="24"/>
          <w:szCs w:val="24"/>
        </w:rPr>
        <w:t>和产品特性</w:t>
      </w:r>
      <w:r>
        <w:rPr>
          <w:rFonts w:ascii="宋体" w:eastAsia="宋体" w:hAnsi="宋体" w:cs="Times New Roman"/>
          <w:sz w:val="24"/>
          <w:szCs w:val="24"/>
        </w:rPr>
        <w:t>，在了解产品情况及销售机构适当性意见的基础上，</w:t>
      </w:r>
      <w:r>
        <w:rPr>
          <w:rFonts w:ascii="宋体" w:eastAsia="宋体" w:hAnsi="宋体" w:cs="Times New Roman" w:hint="eastAsia"/>
          <w:sz w:val="24"/>
          <w:szCs w:val="24"/>
        </w:rPr>
        <w:t>根据自身的投资目标、投资期限、投资经验、资产状况等判断基金是否和自身风险承受能力相适应，理性判断市场，自主判断基金投资价值，自主、谨</w:t>
      </w:r>
      <w:r>
        <w:rPr>
          <w:rFonts w:ascii="宋体" w:eastAsia="宋体" w:hAnsi="宋体" w:cs="Times New Roman" w:hint="eastAsia"/>
          <w:sz w:val="24"/>
          <w:szCs w:val="24"/>
        </w:rPr>
        <w:t>慎做出投资决策，并自行承担投资风险。</w:t>
      </w:r>
    </w:p>
    <w:p w:rsidR="00DA3864" w:rsidRDefault="00736093">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特此公告</w:t>
      </w:r>
    </w:p>
    <w:p w:rsidR="00DA3864" w:rsidRDefault="00DA3864">
      <w:pPr>
        <w:spacing w:line="360" w:lineRule="auto"/>
        <w:ind w:firstLineChars="200" w:firstLine="480"/>
        <w:rPr>
          <w:rFonts w:ascii="宋体" w:eastAsia="宋体" w:hAnsi="宋体" w:cs="Times New Roman"/>
          <w:sz w:val="24"/>
          <w:szCs w:val="24"/>
        </w:rPr>
      </w:pPr>
    </w:p>
    <w:p w:rsidR="00DA3864" w:rsidRDefault="00736093">
      <w:pPr>
        <w:spacing w:line="360" w:lineRule="auto"/>
        <w:ind w:firstLineChars="200" w:firstLine="480"/>
        <w:jc w:val="right"/>
        <w:rPr>
          <w:rFonts w:ascii="宋体" w:eastAsia="宋体" w:hAnsi="宋体" w:cs="Times New Roman"/>
          <w:sz w:val="24"/>
          <w:szCs w:val="24"/>
        </w:rPr>
      </w:pPr>
      <w:r>
        <w:rPr>
          <w:rFonts w:ascii="宋体" w:eastAsia="宋体" w:hAnsi="宋体" w:cs="Times New Roman" w:hint="eastAsia"/>
          <w:sz w:val="24"/>
          <w:szCs w:val="24"/>
        </w:rPr>
        <w:t>平安</w:t>
      </w:r>
      <w:r>
        <w:rPr>
          <w:rFonts w:ascii="宋体" w:eastAsia="宋体" w:hAnsi="宋体" w:cs="Times New Roman"/>
          <w:sz w:val="24"/>
          <w:szCs w:val="24"/>
        </w:rPr>
        <w:t>基金管理有限公司</w:t>
      </w:r>
    </w:p>
    <w:p w:rsidR="00DA3864" w:rsidRDefault="00736093">
      <w:pPr>
        <w:spacing w:line="360" w:lineRule="auto"/>
        <w:ind w:firstLineChars="200" w:firstLine="480"/>
        <w:jc w:val="right"/>
        <w:rPr>
          <w:rFonts w:ascii="宋体" w:eastAsia="宋体" w:hAnsi="宋体" w:cs="Times New Roman"/>
          <w:sz w:val="24"/>
          <w:szCs w:val="24"/>
        </w:rPr>
      </w:pPr>
      <w:r>
        <w:rPr>
          <w:rFonts w:ascii="宋体" w:eastAsia="宋体" w:hAnsi="宋体" w:cs="Times New Roman"/>
          <w:sz w:val="24"/>
          <w:szCs w:val="24"/>
        </w:rPr>
        <w:t>二〇二</w:t>
      </w:r>
      <w:r>
        <w:rPr>
          <w:rFonts w:ascii="宋体" w:eastAsia="宋体" w:hAnsi="宋体" w:cs="Times New Roman" w:hint="eastAsia"/>
          <w:sz w:val="24"/>
          <w:szCs w:val="24"/>
        </w:rPr>
        <w:t>五</w:t>
      </w:r>
      <w:r>
        <w:rPr>
          <w:rFonts w:ascii="宋体" w:eastAsia="宋体" w:hAnsi="宋体" w:cs="Times New Roman"/>
          <w:sz w:val="24"/>
          <w:szCs w:val="24"/>
        </w:rPr>
        <w:t>年</w:t>
      </w:r>
      <w:r>
        <w:rPr>
          <w:rFonts w:ascii="宋体" w:eastAsia="宋体" w:hAnsi="宋体" w:cs="Times New Roman" w:hint="eastAsia"/>
          <w:sz w:val="24"/>
          <w:szCs w:val="24"/>
        </w:rPr>
        <w:t>十二</w:t>
      </w:r>
      <w:r>
        <w:rPr>
          <w:rFonts w:ascii="宋体" w:eastAsia="宋体" w:hAnsi="宋体" w:cs="Times New Roman"/>
          <w:sz w:val="24"/>
          <w:szCs w:val="24"/>
        </w:rPr>
        <w:t>月</w:t>
      </w:r>
      <w:r>
        <w:rPr>
          <w:rFonts w:ascii="宋体" w:eastAsia="宋体" w:hAnsi="宋体" w:cs="Times New Roman" w:hint="eastAsia"/>
          <w:sz w:val="24"/>
          <w:szCs w:val="24"/>
        </w:rPr>
        <w:t>二十五</w:t>
      </w:r>
      <w:r>
        <w:rPr>
          <w:rFonts w:ascii="宋体" w:eastAsia="宋体" w:hAnsi="宋体" w:cs="Times New Roman"/>
          <w:sz w:val="24"/>
          <w:szCs w:val="24"/>
        </w:rPr>
        <w:t>日</w:t>
      </w:r>
    </w:p>
    <w:sectPr w:rsidR="00DA3864" w:rsidSect="00DA386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864" w:rsidRDefault="00DA3864" w:rsidP="00DA3864">
      <w:r>
        <w:separator/>
      </w:r>
    </w:p>
  </w:endnote>
  <w:endnote w:type="continuationSeparator" w:id="0">
    <w:p w:rsidR="00DA3864" w:rsidRDefault="00DA3864" w:rsidP="00DA3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30ED08D7-0E0E-4BE2-BE35-3AE2B54B00C8}"/>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DA3864" w:rsidRDefault="00DA3864">
        <w:pPr>
          <w:pStyle w:val="a5"/>
          <w:jc w:val="center"/>
        </w:pPr>
        <w:r>
          <w:fldChar w:fldCharType="begin"/>
        </w:r>
        <w:r w:rsidR="00736093">
          <w:instrText>PAGE   \* MERGEFORMAT</w:instrText>
        </w:r>
        <w:r>
          <w:fldChar w:fldCharType="separate"/>
        </w:r>
        <w:r w:rsidR="00736093" w:rsidRPr="00736093">
          <w:rPr>
            <w:noProof/>
            <w:lang w:val="zh-CN"/>
          </w:rPr>
          <w:t>1</w:t>
        </w:r>
        <w:r>
          <w:fldChar w:fldCharType="end"/>
        </w:r>
      </w:p>
    </w:sdtContent>
  </w:sdt>
  <w:p w:rsidR="00DA3864" w:rsidRDefault="00DA38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864" w:rsidRDefault="00DA3864" w:rsidP="00DA3864">
      <w:r>
        <w:separator/>
      </w:r>
    </w:p>
  </w:footnote>
  <w:footnote w:type="continuationSeparator" w:id="0">
    <w:p w:rsidR="00DA3864" w:rsidRDefault="00DA3864" w:rsidP="00DA3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64" w:rsidRDefault="00DA386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568B1"/>
    <w:rsid w:val="00064532"/>
    <w:rsid w:val="00070D5C"/>
    <w:rsid w:val="00071B7E"/>
    <w:rsid w:val="000720F1"/>
    <w:rsid w:val="0009198E"/>
    <w:rsid w:val="000926F9"/>
    <w:rsid w:val="000938D9"/>
    <w:rsid w:val="000B7300"/>
    <w:rsid w:val="000D3501"/>
    <w:rsid w:val="000E17C0"/>
    <w:rsid w:val="000E6095"/>
    <w:rsid w:val="000F537E"/>
    <w:rsid w:val="000F6620"/>
    <w:rsid w:val="00112907"/>
    <w:rsid w:val="00126457"/>
    <w:rsid w:val="00136D2C"/>
    <w:rsid w:val="001452A6"/>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8C1"/>
    <w:rsid w:val="00733C63"/>
    <w:rsid w:val="007348EA"/>
    <w:rsid w:val="00734BB8"/>
    <w:rsid w:val="00736093"/>
    <w:rsid w:val="0074219C"/>
    <w:rsid w:val="007424C2"/>
    <w:rsid w:val="00746318"/>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A3864"/>
    <w:rsid w:val="00DB54B5"/>
    <w:rsid w:val="00DE2618"/>
    <w:rsid w:val="00DF0D0B"/>
    <w:rsid w:val="00E0201B"/>
    <w:rsid w:val="00E17DD2"/>
    <w:rsid w:val="00E244FE"/>
    <w:rsid w:val="00E278A3"/>
    <w:rsid w:val="00E3436A"/>
    <w:rsid w:val="00E448FB"/>
    <w:rsid w:val="00E66950"/>
    <w:rsid w:val="00E66F05"/>
    <w:rsid w:val="00E91558"/>
    <w:rsid w:val="00E966E0"/>
    <w:rsid w:val="00EA02B4"/>
    <w:rsid w:val="00EB36F7"/>
    <w:rsid w:val="00EB7D8D"/>
    <w:rsid w:val="00ED538E"/>
    <w:rsid w:val="00F10BEA"/>
    <w:rsid w:val="00F15B13"/>
    <w:rsid w:val="00F269A3"/>
    <w:rsid w:val="00F30CAF"/>
    <w:rsid w:val="00F32EB0"/>
    <w:rsid w:val="00F70CBD"/>
    <w:rsid w:val="00F716A6"/>
    <w:rsid w:val="00F757B5"/>
    <w:rsid w:val="00F96BCE"/>
    <w:rsid w:val="00FD4A42"/>
    <w:rsid w:val="00FE2576"/>
    <w:rsid w:val="018241FE"/>
    <w:rsid w:val="01B916F1"/>
    <w:rsid w:val="022F2646"/>
    <w:rsid w:val="05151950"/>
    <w:rsid w:val="06110C21"/>
    <w:rsid w:val="09042ACF"/>
    <w:rsid w:val="0DA64403"/>
    <w:rsid w:val="123B17BD"/>
    <w:rsid w:val="12436DBC"/>
    <w:rsid w:val="131071CE"/>
    <w:rsid w:val="15507C66"/>
    <w:rsid w:val="16127397"/>
    <w:rsid w:val="162344C7"/>
    <w:rsid w:val="18A61F41"/>
    <w:rsid w:val="1BCE12B7"/>
    <w:rsid w:val="21F81B03"/>
    <w:rsid w:val="27BD74F4"/>
    <w:rsid w:val="299762DC"/>
    <w:rsid w:val="29F40719"/>
    <w:rsid w:val="2F143C61"/>
    <w:rsid w:val="2F5550D0"/>
    <w:rsid w:val="392F3454"/>
    <w:rsid w:val="39A82D03"/>
    <w:rsid w:val="3A7C1685"/>
    <w:rsid w:val="3AFB107B"/>
    <w:rsid w:val="3C677FD5"/>
    <w:rsid w:val="3C920BB5"/>
    <w:rsid w:val="43C73BDB"/>
    <w:rsid w:val="4571125A"/>
    <w:rsid w:val="45EA683B"/>
    <w:rsid w:val="469306F8"/>
    <w:rsid w:val="46D1347A"/>
    <w:rsid w:val="48894AEF"/>
    <w:rsid w:val="49421A49"/>
    <w:rsid w:val="4B643A12"/>
    <w:rsid w:val="4B882362"/>
    <w:rsid w:val="4C7D0EC5"/>
    <w:rsid w:val="502B6EFE"/>
    <w:rsid w:val="52660DD6"/>
    <w:rsid w:val="527346B2"/>
    <w:rsid w:val="5443460E"/>
    <w:rsid w:val="549D72FA"/>
    <w:rsid w:val="552164A4"/>
    <w:rsid w:val="56DA250E"/>
    <w:rsid w:val="5A8F01E3"/>
    <w:rsid w:val="62F640DE"/>
    <w:rsid w:val="639B2C4E"/>
    <w:rsid w:val="6AD3005D"/>
    <w:rsid w:val="6C807CBC"/>
    <w:rsid w:val="73041B05"/>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A386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DA3864"/>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DA3864"/>
    <w:pPr>
      <w:jc w:val="left"/>
    </w:pPr>
  </w:style>
  <w:style w:type="paragraph" w:styleId="a4">
    <w:name w:val="Balloon Text"/>
    <w:basedOn w:val="a"/>
    <w:link w:val="Char0"/>
    <w:autoRedefine/>
    <w:uiPriority w:val="99"/>
    <w:semiHidden/>
    <w:unhideWhenUsed/>
    <w:qFormat/>
    <w:rsid w:val="00DA3864"/>
    <w:rPr>
      <w:sz w:val="18"/>
      <w:szCs w:val="18"/>
    </w:rPr>
  </w:style>
  <w:style w:type="paragraph" w:styleId="a5">
    <w:name w:val="footer"/>
    <w:basedOn w:val="a"/>
    <w:link w:val="Char1"/>
    <w:autoRedefine/>
    <w:uiPriority w:val="99"/>
    <w:unhideWhenUsed/>
    <w:qFormat/>
    <w:rsid w:val="00DA3864"/>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DA386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DA3864"/>
    <w:rPr>
      <w:b/>
      <w:bCs/>
    </w:rPr>
  </w:style>
  <w:style w:type="table" w:styleId="a8">
    <w:name w:val="Table Grid"/>
    <w:basedOn w:val="a1"/>
    <w:autoRedefine/>
    <w:uiPriority w:val="39"/>
    <w:qFormat/>
    <w:rsid w:val="00DA38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DA3864"/>
    <w:rPr>
      <w:sz w:val="21"/>
      <w:szCs w:val="21"/>
    </w:rPr>
  </w:style>
  <w:style w:type="character" w:customStyle="1" w:styleId="Char2">
    <w:name w:val="页眉 Char"/>
    <w:basedOn w:val="a0"/>
    <w:link w:val="a6"/>
    <w:autoRedefine/>
    <w:uiPriority w:val="99"/>
    <w:qFormat/>
    <w:rsid w:val="00DA3864"/>
    <w:rPr>
      <w:sz w:val="18"/>
      <w:szCs w:val="18"/>
    </w:rPr>
  </w:style>
  <w:style w:type="character" w:customStyle="1" w:styleId="Char1">
    <w:name w:val="页脚 Char"/>
    <w:basedOn w:val="a0"/>
    <w:link w:val="a5"/>
    <w:autoRedefine/>
    <w:uiPriority w:val="99"/>
    <w:qFormat/>
    <w:rsid w:val="00DA3864"/>
    <w:rPr>
      <w:sz w:val="18"/>
      <w:szCs w:val="18"/>
    </w:rPr>
  </w:style>
  <w:style w:type="paragraph" w:styleId="aa">
    <w:name w:val="List Paragraph"/>
    <w:basedOn w:val="a"/>
    <w:uiPriority w:val="1"/>
    <w:qFormat/>
    <w:rsid w:val="00DA3864"/>
    <w:pPr>
      <w:ind w:firstLineChars="200" w:firstLine="420"/>
    </w:pPr>
  </w:style>
  <w:style w:type="character" w:customStyle="1" w:styleId="Char">
    <w:name w:val="批注文字 Char"/>
    <w:basedOn w:val="a0"/>
    <w:link w:val="a3"/>
    <w:autoRedefine/>
    <w:uiPriority w:val="99"/>
    <w:semiHidden/>
    <w:qFormat/>
    <w:rsid w:val="00DA3864"/>
  </w:style>
  <w:style w:type="character" w:customStyle="1" w:styleId="Char3">
    <w:name w:val="批注主题 Char"/>
    <w:basedOn w:val="Char"/>
    <w:link w:val="a7"/>
    <w:autoRedefine/>
    <w:uiPriority w:val="99"/>
    <w:semiHidden/>
    <w:qFormat/>
    <w:rsid w:val="00DA3864"/>
    <w:rPr>
      <w:b/>
      <w:bCs/>
    </w:rPr>
  </w:style>
  <w:style w:type="paragraph" w:customStyle="1" w:styleId="1">
    <w:name w:val="修订1"/>
    <w:autoRedefine/>
    <w:hidden/>
    <w:uiPriority w:val="99"/>
    <w:semiHidden/>
    <w:qFormat/>
    <w:rsid w:val="00DA3864"/>
    <w:rPr>
      <w:rFonts w:asciiTheme="minorHAnsi" w:eastAsiaTheme="minorEastAsia" w:hAnsiTheme="minorHAnsi" w:cstheme="minorBidi"/>
      <w:kern w:val="2"/>
      <w:sz w:val="21"/>
      <w:szCs w:val="22"/>
    </w:rPr>
  </w:style>
  <w:style w:type="paragraph" w:customStyle="1" w:styleId="Default">
    <w:name w:val="Default"/>
    <w:autoRedefine/>
    <w:qFormat/>
    <w:rsid w:val="00DA3864"/>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DA3864"/>
    <w:rPr>
      <w:sz w:val="18"/>
      <w:szCs w:val="18"/>
    </w:rPr>
  </w:style>
  <w:style w:type="table" w:customStyle="1" w:styleId="TableNormal1">
    <w:name w:val="Table Normal1"/>
    <w:autoRedefine/>
    <w:uiPriority w:val="2"/>
    <w:semiHidden/>
    <w:unhideWhenUsed/>
    <w:qFormat/>
    <w:rsid w:val="00DA3864"/>
    <w:tblPr>
      <w:tblCellMar>
        <w:top w:w="0" w:type="dxa"/>
        <w:left w:w="0" w:type="dxa"/>
        <w:bottom w:w="0" w:type="dxa"/>
        <w:right w:w="0" w:type="dxa"/>
      </w:tblCellMar>
    </w:tblPr>
  </w:style>
  <w:style w:type="paragraph" w:customStyle="1" w:styleId="TableParagraph">
    <w:name w:val="Table Paragraph"/>
    <w:basedOn w:val="a"/>
    <w:autoRedefine/>
    <w:uiPriority w:val="1"/>
    <w:qFormat/>
    <w:rsid w:val="00DA3864"/>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DA3864"/>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DA3864"/>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DA3864"/>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DA3864"/>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DA386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4</DocSecurity>
  <Lines>10</Lines>
  <Paragraphs>3</Paragraphs>
  <ScaleCrop>false</ScaleCrop>
  <Company>PAIG</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2025-12-24T16:01:00Z</dcterms:created>
  <dcterms:modified xsi:type="dcterms:W3CDTF">2025-12-24T16:01:00Z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9BDD62E2D3D74735A828684A24F00639</vt:lpwstr>
  </property>
  <property fmtid="{D5CDD505-2E9C-101B-9397-08002B2CF9AE}" pid="4" name="KSOTemplateDocerSaveRecord">
    <vt:lpwstr>eyJoZGlkIjoiZTdjZTA0ZGNjY2EyNGI3MGJiZDVmZDNkNTMwODg0NjYiLCJ1c2VySWQiOiI2MTg4NDc5MDIifQ==</vt:lpwstr>
  </property>
</Properties>
</file>