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C4" w:rsidRDefault="00C756C4"/>
    <w:p w:rsidR="009A132F" w:rsidRPr="00E12077" w:rsidRDefault="009A132F" w:rsidP="00E1207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银华基金管理</w:t>
      </w:r>
      <w:r w:rsidR="009628CF">
        <w:rPr>
          <w:rFonts w:ascii="宋体" w:hAnsi="宋体" w:hint="eastAsia"/>
          <w:b/>
          <w:bCs/>
          <w:kern w:val="0"/>
          <w:sz w:val="28"/>
          <w:szCs w:val="28"/>
        </w:rPr>
        <w:t>股份</w:t>
      </w:r>
      <w:r w:rsidRPr="00E12077">
        <w:rPr>
          <w:rFonts w:ascii="宋体" w:hAnsi="宋体" w:hint="eastAsia"/>
          <w:b/>
          <w:bCs/>
          <w:kern w:val="0"/>
          <w:sz w:val="28"/>
          <w:szCs w:val="28"/>
        </w:rPr>
        <w:t>有限公司</w:t>
      </w:r>
    </w:p>
    <w:p w:rsidR="009A132F" w:rsidRPr="009709F5" w:rsidRDefault="009A132F" w:rsidP="00BF53C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关于旗下</w:t>
      </w:r>
      <w:r w:rsidR="009F660A" w:rsidRPr="00E12077">
        <w:rPr>
          <w:rFonts w:ascii="宋体" w:hAnsi="宋体" w:hint="eastAsia"/>
          <w:b/>
          <w:bCs/>
          <w:kern w:val="0"/>
          <w:sz w:val="28"/>
          <w:szCs w:val="28"/>
        </w:rPr>
        <w:t>部分</w:t>
      </w:r>
      <w:r w:rsidRPr="00E12077">
        <w:rPr>
          <w:rFonts w:ascii="宋体" w:hAnsi="宋体" w:hint="eastAsia"/>
          <w:b/>
          <w:bCs/>
          <w:kern w:val="0"/>
          <w:sz w:val="28"/>
          <w:szCs w:val="28"/>
        </w:rPr>
        <w:t>基金持有的</w:t>
      </w:r>
      <w:r w:rsidR="007A6E1D" w:rsidRPr="007A6E1D">
        <w:rPr>
          <w:rFonts w:ascii="宋体" w:hAnsi="宋体"/>
          <w:b/>
          <w:bCs/>
          <w:kern w:val="0"/>
          <w:sz w:val="28"/>
          <w:szCs w:val="28"/>
        </w:rPr>
        <w:t>中微公司</w:t>
      </w:r>
      <w:r w:rsidRPr="00E12077">
        <w:rPr>
          <w:rFonts w:ascii="宋体" w:hAnsi="宋体" w:hint="eastAsia"/>
          <w:b/>
          <w:bCs/>
          <w:kern w:val="0"/>
          <w:sz w:val="28"/>
          <w:szCs w:val="28"/>
        </w:rPr>
        <w:t>估值</w:t>
      </w:r>
      <w:r w:rsidRPr="004013DC">
        <w:rPr>
          <w:rFonts w:ascii="宋体" w:hAnsi="宋体" w:hint="eastAsia"/>
          <w:b/>
          <w:bCs/>
          <w:kern w:val="0"/>
          <w:sz w:val="28"/>
          <w:szCs w:val="28"/>
        </w:rPr>
        <w:t>方法</w:t>
      </w:r>
      <w:r w:rsidRPr="00E12077">
        <w:rPr>
          <w:rFonts w:ascii="宋体" w:hAnsi="宋体" w:hint="eastAsia"/>
          <w:b/>
          <w:bCs/>
          <w:kern w:val="0"/>
          <w:sz w:val="28"/>
          <w:szCs w:val="28"/>
        </w:rPr>
        <w:t>调整的公告</w:t>
      </w:r>
    </w:p>
    <w:p w:rsidR="009A132F" w:rsidRPr="001B7ADB" w:rsidRDefault="008E51FD" w:rsidP="001B7ADB">
      <w:pPr>
        <w:widowControl/>
        <w:spacing w:before="100" w:beforeAutospacing="1" w:line="360" w:lineRule="auto"/>
        <w:ind w:firstLine="352"/>
        <w:rPr>
          <w:rFonts w:ascii="宋体" w:hAnsi="宋体" w:cs="宋体"/>
          <w:color w:val="000000"/>
          <w:kern w:val="0"/>
          <w:sz w:val="23"/>
          <w:szCs w:val="23"/>
        </w:rPr>
      </w:pPr>
      <w:r w:rsidRPr="008E51FD">
        <w:rPr>
          <w:rFonts w:ascii="宋体" w:hAnsi="宋体" w:cs="宋体" w:hint="eastAsia"/>
          <w:color w:val="000000"/>
          <w:kern w:val="0"/>
          <w:sz w:val="23"/>
          <w:szCs w:val="23"/>
        </w:rPr>
        <w:br/>
      </w:r>
      <w:r w:rsidR="009A132F" w:rsidRPr="009A132F">
        <w:rPr>
          <w:rFonts w:ascii="宋体" w:hAnsi="宋体" w:cs="宋体" w:hint="eastAsia"/>
          <w:color w:val="000000"/>
          <w:kern w:val="0"/>
          <w:sz w:val="23"/>
          <w:szCs w:val="23"/>
        </w:rPr>
        <w:t xml:space="preserve"> </w:t>
      </w:r>
      <w:r w:rsidR="009A132F">
        <w:rPr>
          <w:rFonts w:ascii="宋体" w:hAnsi="宋体" w:cs="宋体" w:hint="eastAsia"/>
          <w:color w:val="000000"/>
          <w:kern w:val="0"/>
          <w:sz w:val="23"/>
          <w:szCs w:val="23"/>
        </w:rPr>
        <w:t xml:space="preserve">   </w:t>
      </w:r>
      <w:r w:rsidR="009A132F" w:rsidRPr="009A132F">
        <w:rPr>
          <w:rFonts w:ascii="宋体" w:hAnsi="宋体" w:cs="宋体" w:hint="eastAsia"/>
          <w:color w:val="000000"/>
          <w:kern w:val="0"/>
          <w:sz w:val="23"/>
          <w:szCs w:val="23"/>
        </w:rPr>
        <w:t xml:space="preserve"> </w:t>
      </w:r>
      <w:r w:rsidR="001B7ADB" w:rsidRPr="001B7ADB">
        <w:rPr>
          <w:rFonts w:ascii="宋体" w:hAnsi="宋体" w:cs="宋体" w:hint="eastAsia"/>
          <w:color w:val="000000"/>
          <w:kern w:val="0"/>
          <w:sz w:val="23"/>
          <w:szCs w:val="23"/>
        </w:rPr>
        <w:t>根据中国证监会</w:t>
      </w:r>
      <w:r w:rsidR="001B7ADB" w:rsidRPr="001B7ADB">
        <w:rPr>
          <w:rFonts w:ascii="宋体" w:hAnsi="宋体" w:cs="宋体"/>
          <w:color w:val="000000"/>
          <w:kern w:val="0"/>
          <w:sz w:val="23"/>
          <w:szCs w:val="23"/>
        </w:rPr>
        <w:t>[2017]13</w:t>
      </w:r>
      <w:r w:rsidR="001B7ADB" w:rsidRPr="001B7ADB">
        <w:rPr>
          <w:rFonts w:ascii="宋体" w:hAnsi="宋体" w:cs="宋体" w:hint="eastAsia"/>
          <w:color w:val="000000"/>
          <w:kern w:val="0"/>
          <w:sz w:val="23"/>
          <w:szCs w:val="23"/>
        </w:rPr>
        <w:t>号公告《中国证监会关于证券投资基金估值业务的指导意见》的有关规定</w:t>
      </w:r>
      <w:r w:rsidR="009A132F" w:rsidRPr="009A132F">
        <w:rPr>
          <w:rFonts w:ascii="宋体" w:hAnsi="宋体" w:cs="宋体" w:hint="eastAsia"/>
          <w:color w:val="000000"/>
          <w:kern w:val="0"/>
          <w:sz w:val="23"/>
          <w:szCs w:val="23"/>
        </w:rPr>
        <w:t>，经与基金托管人协商一致，银华基金管理</w:t>
      </w:r>
      <w:r w:rsidR="009628CF">
        <w:rPr>
          <w:rFonts w:ascii="宋体" w:hAnsi="宋体" w:cs="宋体" w:hint="eastAsia"/>
          <w:color w:val="000000"/>
          <w:kern w:val="0"/>
          <w:sz w:val="23"/>
          <w:szCs w:val="23"/>
        </w:rPr>
        <w:t>股份</w:t>
      </w:r>
      <w:r w:rsidR="009A132F" w:rsidRPr="009A132F">
        <w:rPr>
          <w:rFonts w:ascii="宋体" w:hAnsi="宋体" w:cs="宋体" w:hint="eastAsia"/>
          <w:color w:val="000000"/>
          <w:kern w:val="0"/>
          <w:sz w:val="23"/>
          <w:szCs w:val="23"/>
        </w:rPr>
        <w:t>有限公司</w:t>
      </w:r>
      <w:r w:rsidR="003F5621">
        <w:rPr>
          <w:rFonts w:ascii="宋体" w:hAnsi="宋体" w:cs="宋体" w:hint="eastAsia"/>
          <w:color w:val="000000"/>
          <w:kern w:val="0"/>
          <w:sz w:val="23"/>
          <w:szCs w:val="23"/>
        </w:rPr>
        <w:t>(以下简称“本公司”)</w:t>
      </w:r>
      <w:r w:rsidR="009A132F" w:rsidRPr="009A132F">
        <w:rPr>
          <w:rFonts w:ascii="宋体" w:hAnsi="宋体" w:cs="宋体" w:hint="eastAsia"/>
          <w:color w:val="000000"/>
          <w:kern w:val="0"/>
          <w:sz w:val="23"/>
          <w:szCs w:val="23"/>
        </w:rPr>
        <w:t>决定自</w:t>
      </w:r>
      <w:r w:rsidR="00CC2CEA">
        <w:rPr>
          <w:rFonts w:ascii="宋体" w:hAnsi="宋体" w:cs="宋体" w:hint="eastAsia"/>
          <w:color w:val="000000"/>
          <w:kern w:val="0"/>
          <w:sz w:val="23"/>
          <w:szCs w:val="23"/>
        </w:rPr>
        <w:t>202</w:t>
      </w:r>
      <w:r w:rsidR="007E1403">
        <w:rPr>
          <w:rFonts w:ascii="宋体" w:hAnsi="宋体" w:cs="宋体"/>
          <w:color w:val="000000"/>
          <w:kern w:val="0"/>
          <w:sz w:val="23"/>
          <w:szCs w:val="23"/>
        </w:rPr>
        <w:t>5</w:t>
      </w:r>
      <w:r w:rsidR="009A132F" w:rsidRPr="009709F5">
        <w:rPr>
          <w:rFonts w:ascii="宋体" w:hAnsi="宋体" w:cs="宋体" w:hint="eastAsia"/>
          <w:color w:val="000000"/>
          <w:kern w:val="0"/>
          <w:sz w:val="23"/>
          <w:szCs w:val="23"/>
        </w:rPr>
        <w:t>年</w:t>
      </w:r>
      <w:r w:rsidR="007A6E1D">
        <w:rPr>
          <w:rFonts w:ascii="宋体" w:hAnsi="宋体" w:cs="宋体"/>
          <w:color w:val="000000"/>
          <w:kern w:val="0"/>
          <w:sz w:val="23"/>
          <w:szCs w:val="23"/>
        </w:rPr>
        <w:t>12</w:t>
      </w:r>
      <w:r w:rsidR="00B61AD8">
        <w:rPr>
          <w:rFonts w:ascii="宋体" w:hAnsi="宋体" w:cs="宋体" w:hint="eastAsia"/>
          <w:color w:val="000000"/>
          <w:kern w:val="0"/>
          <w:sz w:val="23"/>
          <w:szCs w:val="23"/>
        </w:rPr>
        <w:t>月</w:t>
      </w:r>
      <w:r w:rsidR="007A6E1D">
        <w:rPr>
          <w:rFonts w:ascii="宋体" w:hAnsi="宋体" w:cs="宋体" w:hint="eastAsia"/>
          <w:color w:val="000000"/>
          <w:kern w:val="0"/>
          <w:sz w:val="23"/>
          <w:szCs w:val="23"/>
        </w:rPr>
        <w:t>2</w:t>
      </w:r>
      <w:r w:rsidR="007A6E1D">
        <w:rPr>
          <w:rFonts w:ascii="宋体" w:hAnsi="宋体" w:cs="宋体"/>
          <w:color w:val="000000"/>
          <w:kern w:val="0"/>
          <w:sz w:val="23"/>
          <w:szCs w:val="23"/>
        </w:rPr>
        <w:t>3</w:t>
      </w:r>
      <w:r w:rsidR="00D63F9B">
        <w:rPr>
          <w:rFonts w:ascii="宋体" w:hAnsi="宋体" w:cs="宋体" w:hint="eastAsia"/>
          <w:color w:val="000000"/>
          <w:kern w:val="0"/>
          <w:sz w:val="23"/>
          <w:szCs w:val="23"/>
        </w:rPr>
        <w:t>日</w:t>
      </w:r>
      <w:r w:rsidR="00EE0E83">
        <w:rPr>
          <w:rFonts w:ascii="宋体" w:hAnsi="宋体" w:cs="宋体" w:hint="eastAsia"/>
          <w:color w:val="000000"/>
          <w:kern w:val="0"/>
          <w:sz w:val="23"/>
          <w:szCs w:val="23"/>
        </w:rPr>
        <w:t>起</w:t>
      </w:r>
      <w:r w:rsidR="009A132F" w:rsidRPr="009A132F">
        <w:rPr>
          <w:rFonts w:ascii="宋体" w:hAnsi="宋体" w:cs="宋体" w:hint="eastAsia"/>
          <w:color w:val="000000"/>
          <w:kern w:val="0"/>
          <w:sz w:val="23"/>
          <w:szCs w:val="23"/>
        </w:rPr>
        <w:t>，对</w:t>
      </w:r>
      <w:r w:rsidR="00620A0F">
        <w:rPr>
          <w:rFonts w:ascii="宋体" w:hAnsi="宋体" w:cs="宋体" w:hint="eastAsia"/>
          <w:color w:val="000000"/>
          <w:kern w:val="0"/>
          <w:sz w:val="23"/>
          <w:szCs w:val="23"/>
        </w:rPr>
        <w:t>本</w:t>
      </w:r>
      <w:r w:rsidR="001D7B81">
        <w:rPr>
          <w:rFonts w:ascii="宋体" w:hAnsi="宋体" w:cs="宋体" w:hint="eastAsia"/>
          <w:color w:val="000000"/>
          <w:kern w:val="0"/>
          <w:sz w:val="23"/>
          <w:szCs w:val="23"/>
        </w:rPr>
        <w:t>公司</w:t>
      </w:r>
      <w:r w:rsidR="009A132F" w:rsidRPr="009A132F">
        <w:rPr>
          <w:rFonts w:ascii="宋体" w:hAnsi="宋体" w:cs="宋体" w:hint="eastAsia"/>
          <w:color w:val="000000"/>
          <w:kern w:val="0"/>
          <w:sz w:val="23"/>
          <w:szCs w:val="23"/>
        </w:rPr>
        <w:t>旗下</w:t>
      </w:r>
      <w:r w:rsidR="001D7B81">
        <w:rPr>
          <w:rFonts w:ascii="宋体" w:hAnsi="宋体" w:cs="宋体" w:hint="eastAsia"/>
          <w:color w:val="000000"/>
          <w:kern w:val="0"/>
          <w:sz w:val="23"/>
          <w:szCs w:val="23"/>
        </w:rPr>
        <w:t>基金</w:t>
      </w:r>
      <w:r w:rsidR="00CC0BD7">
        <w:rPr>
          <w:rFonts w:ascii="宋体" w:hAnsi="宋体" w:cs="宋体" w:hint="eastAsia"/>
          <w:color w:val="000000"/>
          <w:kern w:val="0"/>
          <w:sz w:val="23"/>
          <w:szCs w:val="23"/>
        </w:rPr>
        <w:t>（</w:t>
      </w:r>
      <w:r w:rsidR="00CC0BD7" w:rsidRPr="007727CC">
        <w:rPr>
          <w:rFonts w:ascii="宋体" w:hAnsi="宋体" w:cs="宋体" w:hint="eastAsia"/>
          <w:color w:val="000000"/>
          <w:kern w:val="0"/>
          <w:sz w:val="23"/>
          <w:szCs w:val="23"/>
        </w:rPr>
        <w:t>ETF除外</w:t>
      </w:r>
      <w:r w:rsidR="00CC0BD7">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持有的</w:t>
      </w:r>
      <w:r w:rsidR="00326BEA">
        <w:rPr>
          <w:rFonts w:ascii="宋体" w:hAnsi="宋体" w:cs="宋体" w:hint="eastAsia"/>
          <w:color w:val="000000"/>
          <w:kern w:val="0"/>
          <w:sz w:val="23"/>
          <w:szCs w:val="23"/>
        </w:rPr>
        <w:t>停牌股票</w:t>
      </w:r>
      <w:r w:rsidR="007A6E1D" w:rsidRPr="007A6E1D">
        <w:rPr>
          <w:rFonts w:ascii="宋体" w:hAnsi="宋体" w:cs="宋体"/>
          <w:color w:val="000000"/>
          <w:kern w:val="0"/>
          <w:sz w:val="23"/>
          <w:szCs w:val="23"/>
        </w:rPr>
        <w:t>中微公司</w:t>
      </w:r>
      <w:r w:rsidR="006E0A8B">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代码：</w:t>
      </w:r>
      <w:r w:rsidR="00CE6F20">
        <w:rPr>
          <w:rFonts w:ascii="宋体" w:hAnsi="宋体" w:cs="宋体"/>
          <w:color w:val="000000"/>
          <w:kern w:val="0"/>
          <w:sz w:val="23"/>
          <w:szCs w:val="23"/>
        </w:rPr>
        <w:t>688</w:t>
      </w:r>
      <w:r w:rsidR="007A6E1D">
        <w:rPr>
          <w:rFonts w:ascii="宋体" w:hAnsi="宋体" w:cs="宋体"/>
          <w:color w:val="000000"/>
          <w:kern w:val="0"/>
          <w:sz w:val="23"/>
          <w:szCs w:val="23"/>
        </w:rPr>
        <w:t>012</w:t>
      </w:r>
      <w:r w:rsidR="007727CC">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采用</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指数收益法</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进行估值。</w:t>
      </w:r>
      <w:r w:rsidR="00805107">
        <w:rPr>
          <w:rFonts w:ascii="宋体" w:hAnsi="宋体" w:cs="宋体" w:hint="eastAsia"/>
          <w:color w:val="000000"/>
          <w:kern w:val="0"/>
          <w:sz w:val="23"/>
          <w:szCs w:val="23"/>
        </w:rPr>
        <w:t>该</w:t>
      </w:r>
      <w:r w:rsidR="00326BEA" w:rsidRPr="0053144E">
        <w:rPr>
          <w:rFonts w:ascii="宋体" w:hAnsi="宋体" w:cs="宋体" w:hint="eastAsia"/>
          <w:color w:val="000000"/>
          <w:kern w:val="0"/>
          <w:sz w:val="23"/>
          <w:szCs w:val="23"/>
        </w:rPr>
        <w:t>股票复牌后，</w:t>
      </w:r>
      <w:r w:rsidR="00326BEA" w:rsidRPr="0053144E">
        <w:rPr>
          <w:rFonts w:ascii="宋体" w:hAnsi="宋体" w:cs="宋体"/>
          <w:color w:val="000000"/>
          <w:kern w:val="0"/>
          <w:sz w:val="23"/>
          <w:szCs w:val="23"/>
        </w:rPr>
        <w:t>本公司</w:t>
      </w:r>
      <w:r w:rsidR="00326BEA" w:rsidRPr="0053144E">
        <w:rPr>
          <w:rFonts w:ascii="宋体" w:hAnsi="宋体" w:cs="宋体" w:hint="eastAsia"/>
          <w:color w:val="000000"/>
          <w:kern w:val="0"/>
          <w:sz w:val="23"/>
          <w:szCs w:val="23"/>
        </w:rPr>
        <w:t>将</w:t>
      </w:r>
      <w:r w:rsidR="00326BEA" w:rsidRPr="0053144E">
        <w:rPr>
          <w:rFonts w:ascii="宋体" w:hAnsi="宋体" w:cs="宋体"/>
          <w:color w:val="000000"/>
          <w:kern w:val="0"/>
          <w:sz w:val="23"/>
          <w:szCs w:val="23"/>
        </w:rPr>
        <w:t>综合参考各项相关影响因素并与基金托管人协商后</w:t>
      </w:r>
      <w:r w:rsidR="0053144E" w:rsidRPr="0053144E">
        <w:rPr>
          <w:rFonts w:ascii="宋体" w:hAnsi="宋体" w:cs="宋体" w:hint="eastAsia"/>
          <w:color w:val="000000"/>
          <w:kern w:val="0"/>
          <w:sz w:val="23"/>
          <w:szCs w:val="23"/>
        </w:rPr>
        <w:t>确定对该</w:t>
      </w:r>
      <w:r w:rsidR="00326BEA" w:rsidRPr="0053144E">
        <w:rPr>
          <w:rFonts w:ascii="宋体" w:hAnsi="宋体" w:cs="宋体" w:hint="eastAsia"/>
          <w:color w:val="000000"/>
          <w:kern w:val="0"/>
          <w:sz w:val="23"/>
          <w:szCs w:val="23"/>
        </w:rPr>
        <w:t>股票</w:t>
      </w:r>
      <w:r w:rsidR="000474C2">
        <w:rPr>
          <w:rFonts w:ascii="宋体" w:hAnsi="宋体" w:cs="宋体"/>
          <w:color w:val="000000"/>
          <w:kern w:val="0"/>
          <w:sz w:val="23"/>
          <w:szCs w:val="23"/>
        </w:rPr>
        <w:t>恢复按市价估值法进行估值</w:t>
      </w:r>
      <w:r w:rsidR="000474C2">
        <w:rPr>
          <w:rFonts w:ascii="宋体" w:hAnsi="宋体" w:cs="宋体" w:hint="eastAsia"/>
          <w:color w:val="000000"/>
          <w:kern w:val="0"/>
          <w:sz w:val="23"/>
          <w:szCs w:val="23"/>
        </w:rPr>
        <w:t>，</w:t>
      </w:r>
      <w:r w:rsidR="00326BEA" w:rsidRPr="0053144E">
        <w:rPr>
          <w:rFonts w:ascii="宋体" w:hAnsi="宋体" w:cs="宋体" w:hint="eastAsia"/>
          <w:color w:val="000000"/>
          <w:kern w:val="0"/>
          <w:sz w:val="23"/>
          <w:szCs w:val="23"/>
        </w:rPr>
        <w:t>届时不再另行公告。</w:t>
      </w:r>
      <w:r w:rsidRPr="008E51FD">
        <w:rPr>
          <w:rFonts w:ascii="宋体" w:hAnsi="宋体" w:cs="宋体" w:hint="eastAsia"/>
          <w:color w:val="000000"/>
          <w:kern w:val="0"/>
          <w:sz w:val="23"/>
          <w:szCs w:val="23"/>
        </w:rPr>
        <w:br/>
      </w:r>
      <w:r w:rsidR="009A132F">
        <w:rPr>
          <w:rFonts w:ascii="宋体" w:hAnsi="宋体" w:cs="宋体" w:hint="eastAsia"/>
          <w:color w:val="000000"/>
          <w:kern w:val="0"/>
          <w:sz w:val="23"/>
          <w:szCs w:val="23"/>
        </w:rPr>
        <w:t xml:space="preserve">  </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投资者可通过以下途径了解或咨询详情</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1、</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公司网址：http://www.yhfund.com.cn。</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2、</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公司客户服务电话：010-85186558, 4006783333。</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 xml:space="preserve">风险提示： </w:t>
      </w:r>
    </w:p>
    <w:p w:rsidR="009A132F" w:rsidRPr="009A132F" w:rsidRDefault="009A132F" w:rsidP="004D3604">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基金管理人承诺以诚实信用、勤勉尽责的原则管理和运用基金资产，但不保证基金一定盈利，也不保证最低收益。敬请投资者留意投资风险。</w:t>
      </w:r>
    </w:p>
    <w:p w:rsid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特此公告</w:t>
      </w:r>
    </w:p>
    <w:p w:rsidR="00B175E8" w:rsidRPr="009A132F" w:rsidRDefault="00B175E8" w:rsidP="009A132F">
      <w:pPr>
        <w:widowControl/>
        <w:spacing w:before="100" w:beforeAutospacing="1" w:line="360" w:lineRule="auto"/>
        <w:ind w:firstLine="352"/>
        <w:rPr>
          <w:rFonts w:ascii="宋体" w:hAnsi="宋体" w:cs="宋体"/>
          <w:color w:val="000000"/>
          <w:kern w:val="0"/>
          <w:sz w:val="23"/>
          <w:szCs w:val="23"/>
        </w:rPr>
      </w:pPr>
    </w:p>
    <w:p w:rsidR="009A132F"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4F4324" w:rsidRPr="00E95C7F">
        <w:rPr>
          <w:rFonts w:ascii="宋体" w:hAnsi="宋体" w:hint="eastAsia"/>
          <w:kern w:val="0"/>
          <w:sz w:val="24"/>
          <w:szCs w:val="20"/>
        </w:rPr>
        <w:t xml:space="preserve"> </w:t>
      </w:r>
      <w:r w:rsidRPr="00E95C7F">
        <w:rPr>
          <w:rFonts w:ascii="宋体" w:hAnsi="宋体" w:hint="eastAsia"/>
          <w:kern w:val="0"/>
          <w:sz w:val="24"/>
          <w:szCs w:val="20"/>
        </w:rPr>
        <w:t>银华基金管理</w:t>
      </w:r>
      <w:r w:rsidR="009628CF">
        <w:rPr>
          <w:rFonts w:ascii="宋体" w:hAnsi="宋体" w:hint="eastAsia"/>
          <w:kern w:val="0"/>
          <w:sz w:val="24"/>
          <w:szCs w:val="20"/>
        </w:rPr>
        <w:t>股份</w:t>
      </w:r>
      <w:r w:rsidRPr="00E95C7F">
        <w:rPr>
          <w:rFonts w:ascii="宋体" w:hAnsi="宋体" w:hint="eastAsia"/>
          <w:kern w:val="0"/>
          <w:sz w:val="24"/>
          <w:szCs w:val="20"/>
        </w:rPr>
        <w:t>有限公司</w:t>
      </w:r>
    </w:p>
    <w:p w:rsidR="008E51FD"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7727CC">
        <w:rPr>
          <w:rFonts w:ascii="宋体" w:hAnsi="宋体" w:hint="eastAsia"/>
          <w:kern w:val="0"/>
          <w:sz w:val="24"/>
          <w:szCs w:val="20"/>
        </w:rPr>
        <w:t>202</w:t>
      </w:r>
      <w:r w:rsidR="007E1403">
        <w:rPr>
          <w:rFonts w:ascii="宋体" w:hAnsi="宋体"/>
          <w:kern w:val="0"/>
          <w:sz w:val="24"/>
          <w:szCs w:val="20"/>
        </w:rPr>
        <w:t>5</w:t>
      </w:r>
      <w:r w:rsidRPr="002D4B53">
        <w:rPr>
          <w:rFonts w:ascii="宋体" w:hAnsi="宋体" w:hint="eastAsia"/>
          <w:kern w:val="0"/>
          <w:sz w:val="24"/>
          <w:szCs w:val="20"/>
        </w:rPr>
        <w:t>年</w:t>
      </w:r>
      <w:r w:rsidR="007A6E1D">
        <w:rPr>
          <w:rFonts w:ascii="宋体" w:hAnsi="宋体"/>
          <w:kern w:val="0"/>
          <w:sz w:val="24"/>
          <w:szCs w:val="20"/>
        </w:rPr>
        <w:t>12</w:t>
      </w:r>
      <w:r w:rsidRPr="002D4B53">
        <w:rPr>
          <w:rFonts w:ascii="宋体" w:hAnsi="宋体" w:hint="eastAsia"/>
          <w:kern w:val="0"/>
          <w:sz w:val="24"/>
          <w:szCs w:val="20"/>
        </w:rPr>
        <w:t>月</w:t>
      </w:r>
      <w:r w:rsidR="00CE6F20">
        <w:rPr>
          <w:rFonts w:ascii="宋体" w:hAnsi="宋体"/>
          <w:kern w:val="0"/>
          <w:sz w:val="24"/>
          <w:szCs w:val="20"/>
        </w:rPr>
        <w:t>2</w:t>
      </w:r>
      <w:r w:rsidR="007A6E1D">
        <w:rPr>
          <w:rFonts w:ascii="宋体" w:hAnsi="宋体"/>
          <w:kern w:val="0"/>
          <w:sz w:val="24"/>
          <w:szCs w:val="20"/>
        </w:rPr>
        <w:t>4</w:t>
      </w:r>
      <w:bookmarkStart w:id="0" w:name="_GoBack"/>
      <w:bookmarkEnd w:id="0"/>
      <w:r w:rsidRPr="002D4B53">
        <w:rPr>
          <w:rFonts w:ascii="宋体" w:hAnsi="宋体" w:hint="eastAsia"/>
          <w:kern w:val="0"/>
          <w:sz w:val="24"/>
          <w:szCs w:val="20"/>
        </w:rPr>
        <w:t>日</w:t>
      </w:r>
    </w:p>
    <w:sectPr w:rsidR="008E51FD" w:rsidRPr="00E95C7F" w:rsidSect="006403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AB" w:rsidRDefault="005961AB">
      <w:r>
        <w:separator/>
      </w:r>
    </w:p>
  </w:endnote>
  <w:endnote w:type="continuationSeparator" w:id="0">
    <w:p w:rsidR="005961AB" w:rsidRDefault="00596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AB" w:rsidRDefault="005961AB">
      <w:r>
        <w:separator/>
      </w:r>
    </w:p>
  </w:footnote>
  <w:footnote w:type="continuationSeparator" w:id="0">
    <w:p w:rsidR="005961AB" w:rsidRDefault="00596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E3" w:rsidRDefault="009628CF" w:rsidP="009B35D0">
    <w:pPr>
      <w:pStyle w:val="a3"/>
      <w:jc w:val="both"/>
    </w:pPr>
    <w:r>
      <w:rPr>
        <w:noProof/>
        <w:color w:val="1F497D"/>
      </w:rPr>
      <w:drawing>
        <wp:inline distT="0" distB="0" distL="0" distR="0">
          <wp:extent cx="1895475" cy="409575"/>
          <wp:effectExtent l="19050" t="0" r="9525" b="0"/>
          <wp:docPr id="2" name="图片 1" descr="说明: 说明: 说明: 银华中英文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说明: 银华中英文全称logo"/>
                  <pic:cNvPicPr>
                    <a:picLocks noChangeAspect="1" noChangeArrowheads="1"/>
                  </pic:cNvPicPr>
                </pic:nvPicPr>
                <pic:blipFill>
                  <a:blip r:embed="rId1" r:link="rId2"/>
                  <a:srcRect/>
                  <a:stretch>
                    <a:fillRect/>
                  </a:stretch>
                </pic:blipFill>
                <pic:spPr bwMode="auto">
                  <a:xfrm>
                    <a:off x="0" y="0"/>
                    <a:ext cx="1895475" cy="4095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FD"/>
    <w:rsid w:val="00002F91"/>
    <w:rsid w:val="00027010"/>
    <w:rsid w:val="00041EC8"/>
    <w:rsid w:val="000474C2"/>
    <w:rsid w:val="000566C9"/>
    <w:rsid w:val="000612EA"/>
    <w:rsid w:val="00065ECD"/>
    <w:rsid w:val="00066091"/>
    <w:rsid w:val="00066F08"/>
    <w:rsid w:val="000711A4"/>
    <w:rsid w:val="00072BBF"/>
    <w:rsid w:val="00073431"/>
    <w:rsid w:val="00081A67"/>
    <w:rsid w:val="00082965"/>
    <w:rsid w:val="00084B30"/>
    <w:rsid w:val="00084B96"/>
    <w:rsid w:val="00087699"/>
    <w:rsid w:val="00092825"/>
    <w:rsid w:val="000928B7"/>
    <w:rsid w:val="000A0271"/>
    <w:rsid w:val="000A37F2"/>
    <w:rsid w:val="000B0346"/>
    <w:rsid w:val="000B2EC1"/>
    <w:rsid w:val="000E0FAC"/>
    <w:rsid w:val="000E3F6B"/>
    <w:rsid w:val="000E7E79"/>
    <w:rsid w:val="000F4D71"/>
    <w:rsid w:val="001010F4"/>
    <w:rsid w:val="00112131"/>
    <w:rsid w:val="0011463B"/>
    <w:rsid w:val="0011714B"/>
    <w:rsid w:val="00124239"/>
    <w:rsid w:val="00125146"/>
    <w:rsid w:val="00125696"/>
    <w:rsid w:val="00132CD3"/>
    <w:rsid w:val="001354AF"/>
    <w:rsid w:val="00140DB7"/>
    <w:rsid w:val="00141383"/>
    <w:rsid w:val="001415AD"/>
    <w:rsid w:val="001555CB"/>
    <w:rsid w:val="0016707A"/>
    <w:rsid w:val="001672E5"/>
    <w:rsid w:val="001807FD"/>
    <w:rsid w:val="001874B9"/>
    <w:rsid w:val="00192E28"/>
    <w:rsid w:val="00194EC5"/>
    <w:rsid w:val="00197193"/>
    <w:rsid w:val="001A1108"/>
    <w:rsid w:val="001A16A5"/>
    <w:rsid w:val="001A4A11"/>
    <w:rsid w:val="001A713C"/>
    <w:rsid w:val="001A7B0D"/>
    <w:rsid w:val="001B0AB1"/>
    <w:rsid w:val="001B109A"/>
    <w:rsid w:val="001B4507"/>
    <w:rsid w:val="001B68FB"/>
    <w:rsid w:val="001B745F"/>
    <w:rsid w:val="001B7ADB"/>
    <w:rsid w:val="001C338C"/>
    <w:rsid w:val="001C3D2F"/>
    <w:rsid w:val="001C75F8"/>
    <w:rsid w:val="001D0D3B"/>
    <w:rsid w:val="001D2316"/>
    <w:rsid w:val="001D7061"/>
    <w:rsid w:val="001D7B81"/>
    <w:rsid w:val="0020078C"/>
    <w:rsid w:val="00205F98"/>
    <w:rsid w:val="00206715"/>
    <w:rsid w:val="0021688F"/>
    <w:rsid w:val="00217137"/>
    <w:rsid w:val="0022123F"/>
    <w:rsid w:val="00221349"/>
    <w:rsid w:val="00221461"/>
    <w:rsid w:val="00227B79"/>
    <w:rsid w:val="00237477"/>
    <w:rsid w:val="002401E6"/>
    <w:rsid w:val="002472F6"/>
    <w:rsid w:val="00261358"/>
    <w:rsid w:val="0026712E"/>
    <w:rsid w:val="002704EB"/>
    <w:rsid w:val="00281A65"/>
    <w:rsid w:val="00283D2D"/>
    <w:rsid w:val="00290D52"/>
    <w:rsid w:val="00294CE0"/>
    <w:rsid w:val="002A07A2"/>
    <w:rsid w:val="002A2DF3"/>
    <w:rsid w:val="002A498C"/>
    <w:rsid w:val="002A554D"/>
    <w:rsid w:val="002B2786"/>
    <w:rsid w:val="002B700B"/>
    <w:rsid w:val="002D4B53"/>
    <w:rsid w:val="002E281E"/>
    <w:rsid w:val="002E7127"/>
    <w:rsid w:val="002F0C1D"/>
    <w:rsid w:val="002F28C4"/>
    <w:rsid w:val="002F362B"/>
    <w:rsid w:val="002F6DF1"/>
    <w:rsid w:val="002F75BC"/>
    <w:rsid w:val="00303816"/>
    <w:rsid w:val="00307FDD"/>
    <w:rsid w:val="003208E5"/>
    <w:rsid w:val="00325475"/>
    <w:rsid w:val="00326BEA"/>
    <w:rsid w:val="003276F2"/>
    <w:rsid w:val="00330702"/>
    <w:rsid w:val="00340686"/>
    <w:rsid w:val="00341D94"/>
    <w:rsid w:val="00342958"/>
    <w:rsid w:val="003501A1"/>
    <w:rsid w:val="003503F3"/>
    <w:rsid w:val="00350BA0"/>
    <w:rsid w:val="00354D2F"/>
    <w:rsid w:val="00360C84"/>
    <w:rsid w:val="00363718"/>
    <w:rsid w:val="00363728"/>
    <w:rsid w:val="003646C9"/>
    <w:rsid w:val="00375F36"/>
    <w:rsid w:val="00383A19"/>
    <w:rsid w:val="00385489"/>
    <w:rsid w:val="003956E8"/>
    <w:rsid w:val="00396664"/>
    <w:rsid w:val="003A1E11"/>
    <w:rsid w:val="003A5890"/>
    <w:rsid w:val="003A6A52"/>
    <w:rsid w:val="003B1D0F"/>
    <w:rsid w:val="003B40DA"/>
    <w:rsid w:val="003C0804"/>
    <w:rsid w:val="003C3AB5"/>
    <w:rsid w:val="003C3F30"/>
    <w:rsid w:val="003C64B6"/>
    <w:rsid w:val="003C7BD8"/>
    <w:rsid w:val="003E49F0"/>
    <w:rsid w:val="003F2D0A"/>
    <w:rsid w:val="003F5621"/>
    <w:rsid w:val="003F5851"/>
    <w:rsid w:val="004013DC"/>
    <w:rsid w:val="00402922"/>
    <w:rsid w:val="004038A3"/>
    <w:rsid w:val="00406B99"/>
    <w:rsid w:val="00421039"/>
    <w:rsid w:val="00423FC5"/>
    <w:rsid w:val="0043374D"/>
    <w:rsid w:val="00435F81"/>
    <w:rsid w:val="00441E7C"/>
    <w:rsid w:val="00450EFD"/>
    <w:rsid w:val="00453652"/>
    <w:rsid w:val="004568D5"/>
    <w:rsid w:val="004625CC"/>
    <w:rsid w:val="00475C64"/>
    <w:rsid w:val="00495674"/>
    <w:rsid w:val="004A101F"/>
    <w:rsid w:val="004A614D"/>
    <w:rsid w:val="004A6F84"/>
    <w:rsid w:val="004B500C"/>
    <w:rsid w:val="004C411E"/>
    <w:rsid w:val="004C4697"/>
    <w:rsid w:val="004C58D8"/>
    <w:rsid w:val="004C70F8"/>
    <w:rsid w:val="004D3604"/>
    <w:rsid w:val="004D3D32"/>
    <w:rsid w:val="004E6A93"/>
    <w:rsid w:val="004E76C0"/>
    <w:rsid w:val="004F4324"/>
    <w:rsid w:val="00502CA9"/>
    <w:rsid w:val="005038F9"/>
    <w:rsid w:val="0050740F"/>
    <w:rsid w:val="00522043"/>
    <w:rsid w:val="00524D5E"/>
    <w:rsid w:val="005259CE"/>
    <w:rsid w:val="0053086B"/>
    <w:rsid w:val="0053144E"/>
    <w:rsid w:val="005424DF"/>
    <w:rsid w:val="00543160"/>
    <w:rsid w:val="005431C8"/>
    <w:rsid w:val="005470F0"/>
    <w:rsid w:val="005551EE"/>
    <w:rsid w:val="00562CF2"/>
    <w:rsid w:val="00564EE3"/>
    <w:rsid w:val="005753EC"/>
    <w:rsid w:val="00576770"/>
    <w:rsid w:val="0058373C"/>
    <w:rsid w:val="005842C7"/>
    <w:rsid w:val="005911F4"/>
    <w:rsid w:val="005919D5"/>
    <w:rsid w:val="005961AB"/>
    <w:rsid w:val="005A25D6"/>
    <w:rsid w:val="005A572D"/>
    <w:rsid w:val="005B07BF"/>
    <w:rsid w:val="005B719C"/>
    <w:rsid w:val="005C1D51"/>
    <w:rsid w:val="005D0C86"/>
    <w:rsid w:val="005D4762"/>
    <w:rsid w:val="005D51F9"/>
    <w:rsid w:val="005E5DEF"/>
    <w:rsid w:val="005F0BCE"/>
    <w:rsid w:val="005F6807"/>
    <w:rsid w:val="006019B9"/>
    <w:rsid w:val="0060353B"/>
    <w:rsid w:val="006079A6"/>
    <w:rsid w:val="006118F0"/>
    <w:rsid w:val="00620A0F"/>
    <w:rsid w:val="00627A8E"/>
    <w:rsid w:val="00630FC8"/>
    <w:rsid w:val="006403AE"/>
    <w:rsid w:val="00643419"/>
    <w:rsid w:val="00644062"/>
    <w:rsid w:val="0065474B"/>
    <w:rsid w:val="006608A8"/>
    <w:rsid w:val="00663BC6"/>
    <w:rsid w:val="00667DE4"/>
    <w:rsid w:val="00671C51"/>
    <w:rsid w:val="00676135"/>
    <w:rsid w:val="00682C53"/>
    <w:rsid w:val="00687444"/>
    <w:rsid w:val="006A435F"/>
    <w:rsid w:val="006A4C61"/>
    <w:rsid w:val="006B1C0D"/>
    <w:rsid w:val="006B6EAA"/>
    <w:rsid w:val="006C02F1"/>
    <w:rsid w:val="006C0F3C"/>
    <w:rsid w:val="006C3856"/>
    <w:rsid w:val="006D0A71"/>
    <w:rsid w:val="006E0A8B"/>
    <w:rsid w:val="006E1988"/>
    <w:rsid w:val="006E4485"/>
    <w:rsid w:val="006E79E4"/>
    <w:rsid w:val="006F337E"/>
    <w:rsid w:val="007213F1"/>
    <w:rsid w:val="00722376"/>
    <w:rsid w:val="007273BB"/>
    <w:rsid w:val="00737F0E"/>
    <w:rsid w:val="00737F6F"/>
    <w:rsid w:val="007427C7"/>
    <w:rsid w:val="007429DA"/>
    <w:rsid w:val="007464A7"/>
    <w:rsid w:val="00746A28"/>
    <w:rsid w:val="007548D8"/>
    <w:rsid w:val="00756CE7"/>
    <w:rsid w:val="00757273"/>
    <w:rsid w:val="00757BED"/>
    <w:rsid w:val="007608BB"/>
    <w:rsid w:val="007612D1"/>
    <w:rsid w:val="00761EA4"/>
    <w:rsid w:val="00766291"/>
    <w:rsid w:val="00771C5A"/>
    <w:rsid w:val="007727CC"/>
    <w:rsid w:val="00774EEB"/>
    <w:rsid w:val="00783594"/>
    <w:rsid w:val="00784076"/>
    <w:rsid w:val="00794847"/>
    <w:rsid w:val="007979AB"/>
    <w:rsid w:val="007A07CB"/>
    <w:rsid w:val="007A6E1D"/>
    <w:rsid w:val="007B1CA3"/>
    <w:rsid w:val="007B4778"/>
    <w:rsid w:val="007D5335"/>
    <w:rsid w:val="007E1403"/>
    <w:rsid w:val="007F37A1"/>
    <w:rsid w:val="00805107"/>
    <w:rsid w:val="008101BB"/>
    <w:rsid w:val="0081333D"/>
    <w:rsid w:val="008238C8"/>
    <w:rsid w:val="008242CD"/>
    <w:rsid w:val="00831C3E"/>
    <w:rsid w:val="008549E7"/>
    <w:rsid w:val="00854BE8"/>
    <w:rsid w:val="008647FD"/>
    <w:rsid w:val="00871D20"/>
    <w:rsid w:val="00890E57"/>
    <w:rsid w:val="008926D4"/>
    <w:rsid w:val="00895BF5"/>
    <w:rsid w:val="008A7060"/>
    <w:rsid w:val="008B0A46"/>
    <w:rsid w:val="008B1CF7"/>
    <w:rsid w:val="008B706B"/>
    <w:rsid w:val="008D22AF"/>
    <w:rsid w:val="008D6D45"/>
    <w:rsid w:val="008D6FD2"/>
    <w:rsid w:val="008E51FD"/>
    <w:rsid w:val="008E5E1E"/>
    <w:rsid w:val="008E6A38"/>
    <w:rsid w:val="008F05B9"/>
    <w:rsid w:val="008F3658"/>
    <w:rsid w:val="008F3AEE"/>
    <w:rsid w:val="008F450D"/>
    <w:rsid w:val="008F7A1D"/>
    <w:rsid w:val="0090180A"/>
    <w:rsid w:val="009024C2"/>
    <w:rsid w:val="00902E48"/>
    <w:rsid w:val="00904CBD"/>
    <w:rsid w:val="009077EA"/>
    <w:rsid w:val="00920E85"/>
    <w:rsid w:val="00922AAE"/>
    <w:rsid w:val="00932A7E"/>
    <w:rsid w:val="00936757"/>
    <w:rsid w:val="0094233C"/>
    <w:rsid w:val="00942463"/>
    <w:rsid w:val="00945DC7"/>
    <w:rsid w:val="00946C18"/>
    <w:rsid w:val="0095579A"/>
    <w:rsid w:val="009628CF"/>
    <w:rsid w:val="00966D6A"/>
    <w:rsid w:val="009709F5"/>
    <w:rsid w:val="009900F7"/>
    <w:rsid w:val="00991503"/>
    <w:rsid w:val="00992964"/>
    <w:rsid w:val="0099360C"/>
    <w:rsid w:val="0099365F"/>
    <w:rsid w:val="00996640"/>
    <w:rsid w:val="009A120D"/>
    <w:rsid w:val="009A132F"/>
    <w:rsid w:val="009A3839"/>
    <w:rsid w:val="009A3F1E"/>
    <w:rsid w:val="009A6DD5"/>
    <w:rsid w:val="009B35D0"/>
    <w:rsid w:val="009C1FA0"/>
    <w:rsid w:val="009C58CB"/>
    <w:rsid w:val="009D5F3C"/>
    <w:rsid w:val="009E4537"/>
    <w:rsid w:val="009E5369"/>
    <w:rsid w:val="009E5C18"/>
    <w:rsid w:val="009E6219"/>
    <w:rsid w:val="009E6396"/>
    <w:rsid w:val="009F6356"/>
    <w:rsid w:val="009F660A"/>
    <w:rsid w:val="00A051A0"/>
    <w:rsid w:val="00A116BB"/>
    <w:rsid w:val="00A15447"/>
    <w:rsid w:val="00A2030F"/>
    <w:rsid w:val="00A24006"/>
    <w:rsid w:val="00A278A0"/>
    <w:rsid w:val="00A4481E"/>
    <w:rsid w:val="00A46901"/>
    <w:rsid w:val="00A529BD"/>
    <w:rsid w:val="00A54692"/>
    <w:rsid w:val="00A611FC"/>
    <w:rsid w:val="00A63D6B"/>
    <w:rsid w:val="00A745B4"/>
    <w:rsid w:val="00A77FF6"/>
    <w:rsid w:val="00A80100"/>
    <w:rsid w:val="00A80C2D"/>
    <w:rsid w:val="00A82F95"/>
    <w:rsid w:val="00A86131"/>
    <w:rsid w:val="00A94AB9"/>
    <w:rsid w:val="00A95E47"/>
    <w:rsid w:val="00A965E8"/>
    <w:rsid w:val="00AA55EA"/>
    <w:rsid w:val="00AA5912"/>
    <w:rsid w:val="00AB1C78"/>
    <w:rsid w:val="00AB2D1A"/>
    <w:rsid w:val="00AB7DC5"/>
    <w:rsid w:val="00AC3F4B"/>
    <w:rsid w:val="00AC4138"/>
    <w:rsid w:val="00AC46DB"/>
    <w:rsid w:val="00AC56BA"/>
    <w:rsid w:val="00AE659F"/>
    <w:rsid w:val="00AE6D3C"/>
    <w:rsid w:val="00AF1C71"/>
    <w:rsid w:val="00B0104D"/>
    <w:rsid w:val="00B036AC"/>
    <w:rsid w:val="00B05C2B"/>
    <w:rsid w:val="00B070B5"/>
    <w:rsid w:val="00B106D5"/>
    <w:rsid w:val="00B175E8"/>
    <w:rsid w:val="00B2109B"/>
    <w:rsid w:val="00B2426A"/>
    <w:rsid w:val="00B27A78"/>
    <w:rsid w:val="00B4437D"/>
    <w:rsid w:val="00B44674"/>
    <w:rsid w:val="00B477A2"/>
    <w:rsid w:val="00B50276"/>
    <w:rsid w:val="00B563EA"/>
    <w:rsid w:val="00B61AD8"/>
    <w:rsid w:val="00B634D8"/>
    <w:rsid w:val="00B63DB4"/>
    <w:rsid w:val="00B65D91"/>
    <w:rsid w:val="00B71331"/>
    <w:rsid w:val="00B7560E"/>
    <w:rsid w:val="00B801DA"/>
    <w:rsid w:val="00B80A61"/>
    <w:rsid w:val="00B8680E"/>
    <w:rsid w:val="00B93B4D"/>
    <w:rsid w:val="00B947AD"/>
    <w:rsid w:val="00BA024B"/>
    <w:rsid w:val="00BA5D3E"/>
    <w:rsid w:val="00BA7E82"/>
    <w:rsid w:val="00BB02C7"/>
    <w:rsid w:val="00BC63E7"/>
    <w:rsid w:val="00BD6BC8"/>
    <w:rsid w:val="00BE29D7"/>
    <w:rsid w:val="00BF0C20"/>
    <w:rsid w:val="00BF4E49"/>
    <w:rsid w:val="00BF53C7"/>
    <w:rsid w:val="00C02B83"/>
    <w:rsid w:val="00C047F3"/>
    <w:rsid w:val="00C100CA"/>
    <w:rsid w:val="00C11FF0"/>
    <w:rsid w:val="00C25F4E"/>
    <w:rsid w:val="00C260BF"/>
    <w:rsid w:val="00C311B0"/>
    <w:rsid w:val="00C33304"/>
    <w:rsid w:val="00C34009"/>
    <w:rsid w:val="00C3441E"/>
    <w:rsid w:val="00C41625"/>
    <w:rsid w:val="00C41F4B"/>
    <w:rsid w:val="00C47DED"/>
    <w:rsid w:val="00C50ABD"/>
    <w:rsid w:val="00C51F70"/>
    <w:rsid w:val="00C579B7"/>
    <w:rsid w:val="00C60121"/>
    <w:rsid w:val="00C60958"/>
    <w:rsid w:val="00C6173E"/>
    <w:rsid w:val="00C72BAF"/>
    <w:rsid w:val="00C73C35"/>
    <w:rsid w:val="00C756C4"/>
    <w:rsid w:val="00C75A37"/>
    <w:rsid w:val="00CA15DC"/>
    <w:rsid w:val="00CA3408"/>
    <w:rsid w:val="00CA4A6E"/>
    <w:rsid w:val="00CB7D44"/>
    <w:rsid w:val="00CC0BD7"/>
    <w:rsid w:val="00CC1C03"/>
    <w:rsid w:val="00CC2CEA"/>
    <w:rsid w:val="00CC71BA"/>
    <w:rsid w:val="00CD7108"/>
    <w:rsid w:val="00CE1470"/>
    <w:rsid w:val="00CE6F20"/>
    <w:rsid w:val="00CF10E5"/>
    <w:rsid w:val="00CF1804"/>
    <w:rsid w:val="00CF4DC4"/>
    <w:rsid w:val="00CF67D1"/>
    <w:rsid w:val="00D0641F"/>
    <w:rsid w:val="00D2747F"/>
    <w:rsid w:val="00D43EAD"/>
    <w:rsid w:val="00D52FF1"/>
    <w:rsid w:val="00D55C74"/>
    <w:rsid w:val="00D63F9B"/>
    <w:rsid w:val="00D644C2"/>
    <w:rsid w:val="00D65B51"/>
    <w:rsid w:val="00D66B8B"/>
    <w:rsid w:val="00D66FF4"/>
    <w:rsid w:val="00D6765D"/>
    <w:rsid w:val="00D76E4D"/>
    <w:rsid w:val="00D95C7F"/>
    <w:rsid w:val="00DA45B6"/>
    <w:rsid w:val="00DA6B5A"/>
    <w:rsid w:val="00DA7DE5"/>
    <w:rsid w:val="00DB0A75"/>
    <w:rsid w:val="00DB584D"/>
    <w:rsid w:val="00DB5C66"/>
    <w:rsid w:val="00DC7FE3"/>
    <w:rsid w:val="00DD139A"/>
    <w:rsid w:val="00DD1804"/>
    <w:rsid w:val="00DD6D2D"/>
    <w:rsid w:val="00DE189C"/>
    <w:rsid w:val="00DE508B"/>
    <w:rsid w:val="00DE6151"/>
    <w:rsid w:val="00DF5B98"/>
    <w:rsid w:val="00E12077"/>
    <w:rsid w:val="00E12BC0"/>
    <w:rsid w:val="00E14A4E"/>
    <w:rsid w:val="00E14EB7"/>
    <w:rsid w:val="00E264C1"/>
    <w:rsid w:val="00E26A82"/>
    <w:rsid w:val="00E26F7A"/>
    <w:rsid w:val="00E30455"/>
    <w:rsid w:val="00E30B2E"/>
    <w:rsid w:val="00E3149C"/>
    <w:rsid w:val="00E33824"/>
    <w:rsid w:val="00E365BC"/>
    <w:rsid w:val="00E368C4"/>
    <w:rsid w:val="00E64B60"/>
    <w:rsid w:val="00E64D1C"/>
    <w:rsid w:val="00E64D7E"/>
    <w:rsid w:val="00E66580"/>
    <w:rsid w:val="00E76B77"/>
    <w:rsid w:val="00E862AF"/>
    <w:rsid w:val="00E91215"/>
    <w:rsid w:val="00E92EB4"/>
    <w:rsid w:val="00E95AB8"/>
    <w:rsid w:val="00E95C7F"/>
    <w:rsid w:val="00EA1C31"/>
    <w:rsid w:val="00EA6724"/>
    <w:rsid w:val="00EB10F7"/>
    <w:rsid w:val="00EB1E26"/>
    <w:rsid w:val="00EB2CD3"/>
    <w:rsid w:val="00EC0521"/>
    <w:rsid w:val="00EC14F6"/>
    <w:rsid w:val="00EC586B"/>
    <w:rsid w:val="00ED3DF9"/>
    <w:rsid w:val="00ED5E29"/>
    <w:rsid w:val="00EE0E83"/>
    <w:rsid w:val="00EF1061"/>
    <w:rsid w:val="00EF2AD0"/>
    <w:rsid w:val="00F05B6B"/>
    <w:rsid w:val="00F24D61"/>
    <w:rsid w:val="00F2568A"/>
    <w:rsid w:val="00F2787F"/>
    <w:rsid w:val="00F32851"/>
    <w:rsid w:val="00F46A25"/>
    <w:rsid w:val="00F47132"/>
    <w:rsid w:val="00F478DA"/>
    <w:rsid w:val="00F51FD1"/>
    <w:rsid w:val="00F60589"/>
    <w:rsid w:val="00F65168"/>
    <w:rsid w:val="00F6573A"/>
    <w:rsid w:val="00F71EC3"/>
    <w:rsid w:val="00F758DC"/>
    <w:rsid w:val="00F761C3"/>
    <w:rsid w:val="00F81FDF"/>
    <w:rsid w:val="00F87517"/>
    <w:rsid w:val="00F90A76"/>
    <w:rsid w:val="00F91E74"/>
    <w:rsid w:val="00F96741"/>
    <w:rsid w:val="00FA03BB"/>
    <w:rsid w:val="00FB04B4"/>
    <w:rsid w:val="00FB0616"/>
    <w:rsid w:val="00FB3827"/>
    <w:rsid w:val="00FC5D10"/>
    <w:rsid w:val="00FD2CD1"/>
    <w:rsid w:val="00FD313A"/>
    <w:rsid w:val="00FE690E"/>
    <w:rsid w:val="00FF0FD0"/>
    <w:rsid w:val="00FF3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3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35D0"/>
    <w:pPr>
      <w:pBdr>
        <w:bottom w:val="single" w:sz="6" w:space="1" w:color="auto"/>
      </w:pBdr>
      <w:tabs>
        <w:tab w:val="center" w:pos="4153"/>
        <w:tab w:val="right" w:pos="8306"/>
      </w:tabs>
      <w:snapToGrid w:val="0"/>
      <w:jc w:val="center"/>
    </w:pPr>
    <w:rPr>
      <w:sz w:val="18"/>
      <w:szCs w:val="18"/>
    </w:rPr>
  </w:style>
  <w:style w:type="paragraph" w:styleId="a4">
    <w:name w:val="footer"/>
    <w:basedOn w:val="a"/>
    <w:rsid w:val="009B35D0"/>
    <w:pPr>
      <w:tabs>
        <w:tab w:val="center" w:pos="4153"/>
        <w:tab w:val="right" w:pos="8306"/>
      </w:tabs>
      <w:snapToGrid w:val="0"/>
      <w:jc w:val="left"/>
    </w:pPr>
    <w:rPr>
      <w:sz w:val="18"/>
      <w:szCs w:val="18"/>
    </w:rPr>
  </w:style>
  <w:style w:type="paragraph" w:styleId="a5">
    <w:name w:val="Balloon Text"/>
    <w:basedOn w:val="a"/>
    <w:link w:val="Char"/>
    <w:rsid w:val="009F660A"/>
    <w:rPr>
      <w:sz w:val="18"/>
      <w:szCs w:val="18"/>
    </w:rPr>
  </w:style>
  <w:style w:type="character" w:customStyle="1" w:styleId="Char">
    <w:name w:val="批注框文本 Char"/>
    <w:basedOn w:val="a0"/>
    <w:link w:val="a5"/>
    <w:rsid w:val="009F660A"/>
    <w:rPr>
      <w:kern w:val="2"/>
      <w:sz w:val="18"/>
      <w:szCs w:val="18"/>
    </w:rPr>
  </w:style>
</w:styles>
</file>

<file path=word/webSettings.xml><?xml version="1.0" encoding="utf-8"?>
<w:webSettings xmlns:r="http://schemas.openxmlformats.org/officeDocument/2006/relationships" xmlns:w="http://schemas.openxmlformats.org/wordprocessingml/2006/main">
  <w:divs>
    <w:div w:id="594633172">
      <w:bodyDiv w:val="1"/>
      <w:marLeft w:val="0"/>
      <w:marRight w:val="0"/>
      <w:marTop w:val="0"/>
      <w:marBottom w:val="0"/>
      <w:divBdr>
        <w:top w:val="none" w:sz="0" w:space="0" w:color="auto"/>
        <w:left w:val="none" w:sz="0" w:space="0" w:color="auto"/>
        <w:bottom w:val="none" w:sz="0" w:space="0" w:color="auto"/>
        <w:right w:val="none" w:sz="0" w:space="0" w:color="auto"/>
      </w:divBdr>
      <w:divsChild>
        <w:div w:id="1235821298">
          <w:marLeft w:val="0"/>
          <w:marRight w:val="0"/>
          <w:marTop w:val="0"/>
          <w:marBottom w:val="0"/>
          <w:divBdr>
            <w:top w:val="none" w:sz="0" w:space="0" w:color="auto"/>
            <w:left w:val="none" w:sz="0" w:space="0" w:color="auto"/>
            <w:bottom w:val="none" w:sz="0" w:space="0" w:color="auto"/>
            <w:right w:val="none" w:sz="0" w:space="0" w:color="auto"/>
          </w:divBdr>
        </w:div>
      </w:divsChild>
    </w:div>
    <w:div w:id="649292435">
      <w:bodyDiv w:val="1"/>
      <w:marLeft w:val="0"/>
      <w:marRight w:val="0"/>
      <w:marTop w:val="0"/>
      <w:marBottom w:val="0"/>
      <w:divBdr>
        <w:top w:val="none" w:sz="0" w:space="0" w:color="auto"/>
        <w:left w:val="none" w:sz="0" w:space="0" w:color="auto"/>
        <w:bottom w:val="none" w:sz="0" w:space="0" w:color="auto"/>
        <w:right w:val="none" w:sz="0" w:space="0" w:color="auto"/>
      </w:divBdr>
    </w:div>
    <w:div w:id="679282642">
      <w:bodyDiv w:val="1"/>
      <w:marLeft w:val="0"/>
      <w:marRight w:val="0"/>
      <w:marTop w:val="0"/>
      <w:marBottom w:val="0"/>
      <w:divBdr>
        <w:top w:val="none" w:sz="0" w:space="0" w:color="auto"/>
        <w:left w:val="none" w:sz="0" w:space="0" w:color="auto"/>
        <w:bottom w:val="none" w:sz="0" w:space="0" w:color="auto"/>
        <w:right w:val="none" w:sz="0" w:space="0" w:color="auto"/>
      </w:divBdr>
      <w:divsChild>
        <w:div w:id="1214468536">
          <w:marLeft w:val="0"/>
          <w:marRight w:val="0"/>
          <w:marTop w:val="0"/>
          <w:marBottom w:val="0"/>
          <w:divBdr>
            <w:top w:val="none" w:sz="0" w:space="0" w:color="auto"/>
            <w:left w:val="none" w:sz="0" w:space="0" w:color="auto"/>
            <w:bottom w:val="none" w:sz="0" w:space="0" w:color="auto"/>
            <w:right w:val="none" w:sz="0" w:space="0" w:color="auto"/>
          </w:divBdr>
          <w:divsChild>
            <w:div w:id="2147356118">
              <w:marLeft w:val="0"/>
              <w:marRight w:val="0"/>
              <w:marTop w:val="0"/>
              <w:marBottom w:val="0"/>
              <w:divBdr>
                <w:top w:val="none" w:sz="0" w:space="0" w:color="auto"/>
                <w:left w:val="none" w:sz="0" w:space="0" w:color="auto"/>
                <w:bottom w:val="none" w:sz="0" w:space="0" w:color="auto"/>
                <w:right w:val="none" w:sz="0" w:space="0" w:color="auto"/>
              </w:divBdr>
              <w:divsChild>
                <w:div w:id="1308390051">
                  <w:marLeft w:val="50"/>
                  <w:marRight w:val="0"/>
                  <w:marTop w:val="0"/>
                  <w:marBottom w:val="0"/>
                  <w:divBdr>
                    <w:top w:val="none" w:sz="0" w:space="0" w:color="auto"/>
                    <w:left w:val="none" w:sz="0" w:space="0" w:color="auto"/>
                    <w:bottom w:val="none" w:sz="0" w:space="0" w:color="auto"/>
                    <w:right w:val="single" w:sz="6" w:space="0" w:color="CCCCCC"/>
                  </w:divBdr>
                  <w:divsChild>
                    <w:div w:id="45834856">
                      <w:marLeft w:val="0"/>
                      <w:marRight w:val="0"/>
                      <w:marTop w:val="0"/>
                      <w:marBottom w:val="0"/>
                      <w:divBdr>
                        <w:top w:val="none" w:sz="0" w:space="0" w:color="auto"/>
                        <w:left w:val="none" w:sz="0" w:space="0" w:color="auto"/>
                        <w:bottom w:val="none" w:sz="0" w:space="0" w:color="auto"/>
                        <w:right w:val="none" w:sz="0" w:space="0" w:color="auto"/>
                      </w:divBdr>
                      <w:divsChild>
                        <w:div w:id="1917855486">
                          <w:marLeft w:val="0"/>
                          <w:marRight w:val="0"/>
                          <w:marTop w:val="0"/>
                          <w:marBottom w:val="0"/>
                          <w:divBdr>
                            <w:top w:val="none" w:sz="0" w:space="0" w:color="auto"/>
                            <w:left w:val="none" w:sz="0" w:space="0" w:color="auto"/>
                            <w:bottom w:val="none" w:sz="0" w:space="0" w:color="auto"/>
                            <w:right w:val="none" w:sz="0" w:space="0" w:color="auto"/>
                          </w:divBdr>
                        </w:div>
                      </w:divsChild>
                    </w:div>
                    <w:div w:id="1204633487">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 w:id="1046369275">
      <w:bodyDiv w:val="1"/>
      <w:marLeft w:val="0"/>
      <w:marRight w:val="0"/>
      <w:marTop w:val="0"/>
      <w:marBottom w:val="0"/>
      <w:divBdr>
        <w:top w:val="none" w:sz="0" w:space="0" w:color="auto"/>
        <w:left w:val="none" w:sz="0" w:space="0" w:color="auto"/>
        <w:bottom w:val="none" w:sz="0" w:space="0" w:color="auto"/>
        <w:right w:val="none" w:sz="0" w:space="0" w:color="auto"/>
      </w:divBdr>
      <w:divsChild>
        <w:div w:id="974063925">
          <w:marLeft w:val="0"/>
          <w:marRight w:val="0"/>
          <w:marTop w:val="0"/>
          <w:marBottom w:val="0"/>
          <w:divBdr>
            <w:top w:val="none" w:sz="0" w:space="0" w:color="auto"/>
            <w:left w:val="none" w:sz="0" w:space="0" w:color="auto"/>
            <w:bottom w:val="none" w:sz="0" w:space="0" w:color="auto"/>
            <w:right w:val="none" w:sz="0" w:space="0" w:color="auto"/>
          </w:divBdr>
        </w:div>
      </w:divsChild>
    </w:div>
    <w:div w:id="1478842408">
      <w:bodyDiv w:val="1"/>
      <w:marLeft w:val="0"/>
      <w:marRight w:val="0"/>
      <w:marTop w:val="0"/>
      <w:marBottom w:val="0"/>
      <w:divBdr>
        <w:top w:val="none" w:sz="0" w:space="0" w:color="auto"/>
        <w:left w:val="none" w:sz="0" w:space="0" w:color="auto"/>
        <w:bottom w:val="none" w:sz="0" w:space="0" w:color="auto"/>
        <w:right w:val="none" w:sz="0" w:space="0" w:color="auto"/>
      </w:divBdr>
    </w:div>
    <w:div w:id="1547524140">
      <w:bodyDiv w:val="1"/>
      <w:marLeft w:val="0"/>
      <w:marRight w:val="0"/>
      <w:marTop w:val="0"/>
      <w:marBottom w:val="0"/>
      <w:divBdr>
        <w:top w:val="none" w:sz="0" w:space="0" w:color="auto"/>
        <w:left w:val="none" w:sz="0" w:space="0" w:color="auto"/>
        <w:bottom w:val="none" w:sz="0" w:space="0" w:color="auto"/>
        <w:right w:val="none" w:sz="0" w:space="0" w:color="auto"/>
      </w:divBdr>
      <w:divsChild>
        <w:div w:id="208190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085D.22A6724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EEF8-3DD3-40C1-AFA7-0153AFC7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4</DocSecurity>
  <Lines>3</Lines>
  <Paragraphs>1</Paragraphs>
  <ScaleCrop>false</ScaleCrop>
  <Company>微软中国</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银华基金管理有限公司关于旗下银华信用债券型证券投资基金持有的11常城建债券估值方法变更的公告</dc:title>
  <dc:subject/>
  <dc:creator>银华基金管理有限公司</dc:creator>
  <cp:keywords/>
  <cp:lastModifiedBy>ZHONGM</cp:lastModifiedBy>
  <cp:revision>2</cp:revision>
  <cp:lastPrinted>2012-10-09T10:34:00Z</cp:lastPrinted>
  <dcterms:created xsi:type="dcterms:W3CDTF">2025-12-23T16:03:00Z</dcterms:created>
  <dcterms:modified xsi:type="dcterms:W3CDTF">2025-12-23T16:03:00Z</dcterms:modified>
</cp:coreProperties>
</file>