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8E" w:rsidRPr="005C57A1" w:rsidRDefault="00FA078E" w:rsidP="00FA078E">
      <w:pPr>
        <w:widowControl/>
        <w:spacing w:line="360" w:lineRule="auto"/>
        <w:jc w:val="center"/>
        <w:rPr>
          <w:rFonts w:asciiTheme="minorEastAsia" w:eastAsiaTheme="minorEastAsia" w:hAnsiTheme="minorEastAsia" w:cs="宋体"/>
          <w:b/>
          <w:kern w:val="0"/>
          <w:sz w:val="30"/>
          <w:szCs w:val="30"/>
        </w:rPr>
      </w:pPr>
      <w:bookmarkStart w:id="0" w:name="_GoBack"/>
      <w:bookmarkEnd w:id="0"/>
      <w:r w:rsidRPr="00C32B4B">
        <w:rPr>
          <w:rFonts w:asciiTheme="minorEastAsia" w:eastAsiaTheme="minorEastAsia" w:hAnsiTheme="minorEastAsia" w:cs="宋体" w:hint="eastAsia"/>
          <w:b/>
          <w:kern w:val="0"/>
          <w:sz w:val="30"/>
          <w:szCs w:val="30"/>
        </w:rPr>
        <w:t>金鹰添润定期开放债券型发起式证券投资基金</w:t>
      </w:r>
      <w:r w:rsidRPr="005C57A1">
        <w:rPr>
          <w:rFonts w:asciiTheme="minorEastAsia" w:eastAsiaTheme="minorEastAsia" w:hAnsiTheme="minorEastAsia" w:cs="宋体" w:hint="eastAsia"/>
          <w:b/>
          <w:kern w:val="0"/>
          <w:sz w:val="30"/>
          <w:szCs w:val="30"/>
        </w:rPr>
        <w:t>分红公告</w:t>
      </w:r>
    </w:p>
    <w:p w:rsidR="009C7860" w:rsidRPr="00FA078E" w:rsidRDefault="009C7860">
      <w:pPr>
        <w:spacing w:line="360" w:lineRule="auto"/>
        <w:jc w:val="center"/>
        <w:rPr>
          <w:rFonts w:eastAsiaTheme="minorEastAsia"/>
          <w:color w:val="000000"/>
          <w:sz w:val="24"/>
          <w:szCs w:val="24"/>
        </w:rPr>
      </w:pPr>
    </w:p>
    <w:p w:rsidR="009C7860" w:rsidRPr="00E04A73" w:rsidRDefault="009F1CC4">
      <w:pPr>
        <w:pStyle w:val="2"/>
        <w:spacing w:line="360" w:lineRule="auto"/>
        <w:rPr>
          <w:rFonts w:ascii="Times New Roman" w:eastAsiaTheme="minorEastAsia" w:hAnsi="Times New Roman"/>
          <w:bCs w:val="0"/>
          <w:color w:val="000000"/>
          <w:sz w:val="24"/>
          <w:szCs w:val="24"/>
        </w:rPr>
      </w:pPr>
      <w:bookmarkStart w:id="1" w:name="_Toc275961418"/>
      <w:r w:rsidRPr="00E04A73">
        <w:rPr>
          <w:rFonts w:ascii="Times New Roman" w:eastAsiaTheme="minorEastAsia" w:hAnsi="Times New Roman"/>
          <w:bCs w:val="0"/>
          <w:color w:val="000000"/>
          <w:sz w:val="24"/>
          <w:szCs w:val="24"/>
        </w:rPr>
        <w:t xml:space="preserve">1 </w:t>
      </w:r>
      <w:r w:rsidRPr="00E04A73">
        <w:rPr>
          <w:rFonts w:ascii="Times New Roman" w:eastAsiaTheme="minorEastAsia" w:hAnsi="Times New Roman"/>
          <w:bCs w:val="0"/>
          <w:color w:val="000000"/>
          <w:sz w:val="24"/>
          <w:szCs w:val="24"/>
        </w:rPr>
        <w:t>公告基本信息</w:t>
      </w:r>
      <w:bookmarkEnd w:id="1"/>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984"/>
        <w:gridCol w:w="5358"/>
      </w:tblGrid>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基金名称</w:t>
            </w:r>
          </w:p>
        </w:tc>
        <w:tc>
          <w:tcPr>
            <w:tcW w:w="5358" w:type="dxa"/>
            <w:vAlign w:val="center"/>
          </w:tcPr>
          <w:p w:rsidR="00FA078E" w:rsidRPr="00E04A73" w:rsidRDefault="00FA078E" w:rsidP="00FA078E">
            <w:pPr>
              <w:spacing w:line="360" w:lineRule="auto"/>
              <w:rPr>
                <w:rFonts w:eastAsiaTheme="minorEastAsia"/>
                <w:sz w:val="24"/>
                <w:szCs w:val="24"/>
              </w:rPr>
            </w:pPr>
            <w:r w:rsidRPr="00C32B4B">
              <w:rPr>
                <w:rFonts w:asciiTheme="minorEastAsia" w:eastAsiaTheme="minorEastAsia" w:hAnsiTheme="minorEastAsia" w:hint="eastAsia"/>
                <w:sz w:val="24"/>
                <w:szCs w:val="24"/>
              </w:rPr>
              <w:t>金鹰添润定期开放债券型发起式证券投资基金</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基金简称</w:t>
            </w:r>
          </w:p>
        </w:tc>
        <w:tc>
          <w:tcPr>
            <w:tcW w:w="5358" w:type="dxa"/>
            <w:vAlign w:val="center"/>
          </w:tcPr>
          <w:p w:rsidR="00FA078E" w:rsidRPr="00E04A73" w:rsidRDefault="00FA078E" w:rsidP="00FA078E">
            <w:pPr>
              <w:spacing w:line="360" w:lineRule="auto"/>
              <w:rPr>
                <w:rFonts w:eastAsiaTheme="minorEastAsia"/>
                <w:sz w:val="24"/>
                <w:szCs w:val="24"/>
              </w:rPr>
            </w:pPr>
            <w:r w:rsidRPr="00C32B4B">
              <w:rPr>
                <w:rFonts w:asciiTheme="minorEastAsia" w:eastAsiaTheme="minorEastAsia" w:hAnsiTheme="minorEastAsia" w:hint="eastAsia"/>
                <w:sz w:val="24"/>
                <w:szCs w:val="24"/>
              </w:rPr>
              <w:t>金鹰添润定期开放债券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基金主代码</w:t>
            </w:r>
          </w:p>
        </w:tc>
        <w:tc>
          <w:tcPr>
            <w:tcW w:w="5358" w:type="dxa"/>
            <w:vAlign w:val="center"/>
          </w:tcPr>
          <w:p w:rsidR="00FA078E" w:rsidRPr="00E04A73" w:rsidRDefault="00FA078E" w:rsidP="00FA078E">
            <w:pPr>
              <w:spacing w:line="360" w:lineRule="auto"/>
              <w:rPr>
                <w:rFonts w:eastAsiaTheme="minorEastAsia"/>
                <w:sz w:val="24"/>
                <w:szCs w:val="24"/>
              </w:rPr>
            </w:pPr>
            <w:r w:rsidRPr="00C32B4B">
              <w:rPr>
                <w:rFonts w:asciiTheme="minorEastAsia" w:eastAsiaTheme="minorEastAsia" w:hAnsiTheme="minorEastAsia"/>
                <w:sz w:val="24"/>
                <w:szCs w:val="24"/>
              </w:rPr>
              <w:t>004045</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基金合同生效日</w:t>
            </w:r>
          </w:p>
        </w:tc>
        <w:tc>
          <w:tcPr>
            <w:tcW w:w="5358" w:type="dxa"/>
            <w:vAlign w:val="center"/>
          </w:tcPr>
          <w:p w:rsidR="00FA078E" w:rsidRPr="00E04A73" w:rsidRDefault="00FA078E" w:rsidP="00FA078E">
            <w:pPr>
              <w:spacing w:line="360" w:lineRule="auto"/>
              <w:rPr>
                <w:rFonts w:eastAsiaTheme="minorEastAsia"/>
                <w:sz w:val="24"/>
                <w:szCs w:val="24"/>
              </w:rPr>
            </w:pPr>
            <w:r w:rsidRPr="006C5C17">
              <w:rPr>
                <w:rFonts w:asciiTheme="minorEastAsia" w:eastAsiaTheme="minorEastAsia" w:hAnsiTheme="minorEastAsia" w:hint="eastAsia"/>
                <w:sz w:val="24"/>
                <w:szCs w:val="24"/>
              </w:rPr>
              <w:t>20</w:t>
            </w:r>
            <w:r w:rsidR="00FC7937">
              <w:rPr>
                <w:rFonts w:asciiTheme="minorEastAsia" w:eastAsiaTheme="minorEastAsia" w:hAnsiTheme="minorEastAsia"/>
                <w:sz w:val="24"/>
                <w:szCs w:val="24"/>
              </w:rPr>
              <w:t>18</w:t>
            </w:r>
            <w:r w:rsidRPr="006C5C17">
              <w:rPr>
                <w:rFonts w:asciiTheme="minorEastAsia" w:eastAsiaTheme="minorEastAsia" w:hAnsiTheme="minorEastAsia" w:hint="eastAsia"/>
                <w:sz w:val="24"/>
                <w:szCs w:val="24"/>
              </w:rPr>
              <w:t>年</w:t>
            </w:r>
            <w:r w:rsidR="00FC7937">
              <w:rPr>
                <w:rFonts w:asciiTheme="minorEastAsia" w:eastAsiaTheme="minorEastAsia" w:hAnsiTheme="minorEastAsia"/>
                <w:sz w:val="24"/>
                <w:szCs w:val="24"/>
              </w:rPr>
              <w:t>3</w:t>
            </w:r>
            <w:r w:rsidRPr="006C5C17">
              <w:rPr>
                <w:rFonts w:asciiTheme="minorEastAsia" w:eastAsiaTheme="minorEastAsia" w:hAnsiTheme="minorEastAsia" w:hint="eastAsia"/>
                <w:sz w:val="24"/>
                <w:szCs w:val="24"/>
              </w:rPr>
              <w:t>月</w:t>
            </w:r>
            <w:r w:rsidR="00FC7937">
              <w:rPr>
                <w:rFonts w:asciiTheme="minorEastAsia" w:eastAsiaTheme="minorEastAsia" w:hAnsiTheme="minorEastAsia"/>
                <w:sz w:val="24"/>
                <w:szCs w:val="24"/>
              </w:rPr>
              <w:t>28</w:t>
            </w:r>
            <w:r w:rsidRPr="006C5C17">
              <w:rPr>
                <w:rFonts w:asciiTheme="minorEastAsia" w:eastAsiaTheme="minorEastAsia" w:hAnsiTheme="minorEastAsia" w:hint="eastAsia"/>
                <w:sz w:val="24"/>
                <w:szCs w:val="24"/>
              </w:rPr>
              <w:t>日</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基金管理人名称</w:t>
            </w:r>
          </w:p>
        </w:tc>
        <w:tc>
          <w:tcPr>
            <w:tcW w:w="5358" w:type="dxa"/>
            <w:vAlign w:val="center"/>
          </w:tcPr>
          <w:p w:rsidR="00FA078E" w:rsidRPr="00E04A73" w:rsidRDefault="00FA078E" w:rsidP="00FA078E">
            <w:pPr>
              <w:spacing w:line="360" w:lineRule="auto"/>
              <w:rPr>
                <w:rFonts w:eastAsiaTheme="minorEastAsia"/>
                <w:sz w:val="24"/>
                <w:szCs w:val="24"/>
              </w:rPr>
            </w:pPr>
            <w:r w:rsidRPr="002825C8">
              <w:rPr>
                <w:rFonts w:asciiTheme="minorEastAsia" w:eastAsiaTheme="minorEastAsia" w:hAnsiTheme="minorEastAsia"/>
                <w:sz w:val="24"/>
                <w:szCs w:val="24"/>
              </w:rPr>
              <w:t>金鹰基金管理有限公司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基金托管人名称</w:t>
            </w:r>
          </w:p>
        </w:tc>
        <w:tc>
          <w:tcPr>
            <w:tcW w:w="5358" w:type="dxa"/>
            <w:vAlign w:val="center"/>
          </w:tcPr>
          <w:p w:rsidR="00FA078E" w:rsidRPr="00E04A73" w:rsidRDefault="00FA078E" w:rsidP="00FA078E">
            <w:pPr>
              <w:spacing w:line="360" w:lineRule="auto"/>
              <w:rPr>
                <w:rFonts w:eastAsiaTheme="minorEastAsia"/>
                <w:sz w:val="24"/>
                <w:szCs w:val="24"/>
              </w:rPr>
            </w:pPr>
            <w:r>
              <w:rPr>
                <w:rFonts w:asciiTheme="minorEastAsia" w:eastAsiaTheme="minorEastAsia" w:hAnsiTheme="minorEastAsia" w:hint="eastAsia"/>
                <w:sz w:val="24"/>
                <w:szCs w:val="24"/>
              </w:rPr>
              <w:t>兴业</w:t>
            </w:r>
            <w:r w:rsidRPr="002825C8">
              <w:rPr>
                <w:rFonts w:asciiTheme="minorEastAsia" w:eastAsiaTheme="minorEastAsia" w:hAnsiTheme="minorEastAsia"/>
                <w:sz w:val="24"/>
                <w:szCs w:val="24"/>
              </w:rPr>
              <w:t>银行股份有限公司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公告依据</w:t>
            </w:r>
          </w:p>
        </w:tc>
        <w:tc>
          <w:tcPr>
            <w:tcW w:w="5358" w:type="dxa"/>
            <w:vAlign w:val="center"/>
          </w:tcPr>
          <w:p w:rsidR="00FA078E" w:rsidRPr="00E04A73" w:rsidRDefault="00FA078E" w:rsidP="00FA078E">
            <w:pPr>
              <w:spacing w:line="360" w:lineRule="auto"/>
              <w:rPr>
                <w:rFonts w:eastAsiaTheme="minorEastAsia"/>
                <w:sz w:val="24"/>
                <w:szCs w:val="24"/>
              </w:rPr>
            </w:pPr>
            <w:r w:rsidRPr="002825C8">
              <w:rPr>
                <w:rFonts w:asciiTheme="minorEastAsia" w:eastAsiaTheme="minorEastAsia" w:hAnsiTheme="minorEastAsia"/>
                <w:sz w:val="24"/>
                <w:szCs w:val="24"/>
              </w:rPr>
              <w:t>基金合同及其他相关法律法规</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收益分配基准日</w:t>
            </w:r>
          </w:p>
        </w:tc>
        <w:tc>
          <w:tcPr>
            <w:tcW w:w="5358" w:type="dxa"/>
            <w:vAlign w:val="center"/>
          </w:tcPr>
          <w:p w:rsidR="00FA078E" w:rsidRPr="00E04A73" w:rsidRDefault="00BC199E" w:rsidP="00BC199E">
            <w:pPr>
              <w:spacing w:line="360" w:lineRule="auto"/>
              <w:rPr>
                <w:rFonts w:eastAsiaTheme="minorEastAsia"/>
                <w:sz w:val="24"/>
                <w:szCs w:val="24"/>
              </w:rPr>
            </w:pPr>
            <w:r w:rsidRPr="00C021D4">
              <w:rPr>
                <w:rFonts w:asciiTheme="minorEastAsia" w:eastAsiaTheme="minorEastAsia" w:hAnsiTheme="minorEastAsia" w:hint="eastAsia"/>
                <w:sz w:val="24"/>
                <w:szCs w:val="24"/>
              </w:rPr>
              <w:t>202</w:t>
            </w:r>
            <w:r>
              <w:rPr>
                <w:rFonts w:asciiTheme="minorEastAsia" w:eastAsiaTheme="minorEastAsia" w:hAnsiTheme="minorEastAsia"/>
                <w:sz w:val="24"/>
                <w:szCs w:val="24"/>
              </w:rPr>
              <w:t>5</w:t>
            </w:r>
            <w:r w:rsidR="00C05D7C" w:rsidRPr="00C021D4">
              <w:rPr>
                <w:rFonts w:asciiTheme="minorEastAsia" w:eastAsiaTheme="minorEastAsia" w:hAnsiTheme="minorEastAsia" w:hint="eastAsia"/>
                <w:sz w:val="24"/>
                <w:szCs w:val="24"/>
              </w:rPr>
              <w:t>年</w:t>
            </w:r>
            <w:r w:rsidR="00C05D7C">
              <w:rPr>
                <w:rFonts w:asciiTheme="minorEastAsia" w:eastAsiaTheme="minorEastAsia" w:hAnsiTheme="minorEastAsia"/>
                <w:sz w:val="24"/>
                <w:szCs w:val="24"/>
              </w:rPr>
              <w:t>12</w:t>
            </w:r>
            <w:r w:rsidR="00FA078E" w:rsidRPr="00C021D4">
              <w:rPr>
                <w:rFonts w:asciiTheme="minorEastAsia" w:eastAsiaTheme="minorEastAsia" w:hAnsiTheme="minorEastAsia" w:hint="eastAsia"/>
                <w:sz w:val="24"/>
                <w:szCs w:val="24"/>
              </w:rPr>
              <w:t>月</w:t>
            </w:r>
            <w:r>
              <w:rPr>
                <w:rFonts w:asciiTheme="minorEastAsia" w:eastAsiaTheme="minorEastAsia" w:hAnsiTheme="minorEastAsia"/>
                <w:sz w:val="24"/>
                <w:szCs w:val="24"/>
              </w:rPr>
              <w:t>17</w:t>
            </w:r>
            <w:r w:rsidR="00FA078E" w:rsidRPr="00C021D4">
              <w:rPr>
                <w:rFonts w:asciiTheme="minorEastAsia" w:eastAsiaTheme="minorEastAsia" w:hAnsiTheme="minorEastAsia" w:hint="eastAsia"/>
                <w:sz w:val="24"/>
                <w:szCs w:val="24"/>
              </w:rPr>
              <w:t>日</w:t>
            </w:r>
          </w:p>
        </w:tc>
      </w:tr>
      <w:tr w:rsidR="009207B0" w:rsidRPr="00E04A73" w:rsidTr="004F71CD">
        <w:trPr>
          <w:jc w:val="center"/>
        </w:trPr>
        <w:tc>
          <w:tcPr>
            <w:tcW w:w="1413" w:type="dxa"/>
            <w:vMerge w:val="restart"/>
            <w:vAlign w:val="center"/>
          </w:tcPr>
          <w:p w:rsidR="009207B0" w:rsidRPr="00E04A73" w:rsidRDefault="009207B0" w:rsidP="003822CA">
            <w:pPr>
              <w:spacing w:line="360" w:lineRule="auto"/>
              <w:rPr>
                <w:rFonts w:eastAsiaTheme="minorEastAsia"/>
                <w:color w:val="000000"/>
                <w:sz w:val="24"/>
                <w:szCs w:val="24"/>
              </w:rPr>
            </w:pPr>
            <w:r w:rsidRPr="00E04A73">
              <w:rPr>
                <w:rFonts w:eastAsiaTheme="minorEastAsia"/>
                <w:color w:val="000000"/>
                <w:sz w:val="24"/>
                <w:szCs w:val="24"/>
              </w:rPr>
              <w:t>截止基准日下属基金份额的相关指标</w:t>
            </w:r>
          </w:p>
        </w:tc>
        <w:tc>
          <w:tcPr>
            <w:tcW w:w="1984" w:type="dxa"/>
            <w:vAlign w:val="center"/>
          </w:tcPr>
          <w:p w:rsidR="009207B0" w:rsidRPr="00E04A73" w:rsidRDefault="009207B0" w:rsidP="003822CA">
            <w:pPr>
              <w:snapToGrid w:val="0"/>
              <w:spacing w:line="288" w:lineRule="auto"/>
              <w:rPr>
                <w:rFonts w:eastAsiaTheme="minorEastAsia"/>
                <w:color w:val="000000"/>
                <w:sz w:val="24"/>
                <w:szCs w:val="24"/>
              </w:rPr>
            </w:pPr>
            <w:r w:rsidRPr="00E04A73">
              <w:rPr>
                <w:rFonts w:eastAsiaTheme="minorEastAsia"/>
                <w:color w:val="000000"/>
                <w:sz w:val="24"/>
                <w:szCs w:val="24"/>
              </w:rPr>
              <w:t>基准日基金份额净值</w:t>
            </w:r>
            <w:r w:rsidRPr="00E04A73">
              <w:rPr>
                <w:rFonts w:eastAsiaTheme="minorEastAsia"/>
                <w:sz w:val="24"/>
                <w:szCs w:val="24"/>
              </w:rPr>
              <w:t>（单位：</w:t>
            </w:r>
            <w:r w:rsidR="00C05D7C">
              <w:rPr>
                <w:rFonts w:eastAsiaTheme="minorEastAsia" w:hint="eastAsia"/>
                <w:sz w:val="24"/>
                <w:szCs w:val="24"/>
              </w:rPr>
              <w:t>人民币</w:t>
            </w:r>
            <w:r w:rsidRPr="00E04A73">
              <w:rPr>
                <w:rFonts w:eastAsiaTheme="minorEastAsia"/>
                <w:color w:val="000000"/>
                <w:kern w:val="0"/>
                <w:sz w:val="24"/>
                <w:szCs w:val="24"/>
              </w:rPr>
              <w:t>元</w:t>
            </w:r>
            <w:r w:rsidRPr="00E04A73">
              <w:rPr>
                <w:rFonts w:eastAsiaTheme="minorEastAsia"/>
                <w:sz w:val="24"/>
                <w:szCs w:val="24"/>
              </w:rPr>
              <w:t>）</w:t>
            </w:r>
          </w:p>
        </w:tc>
        <w:tc>
          <w:tcPr>
            <w:tcW w:w="5358" w:type="dxa"/>
            <w:vAlign w:val="center"/>
          </w:tcPr>
          <w:p w:rsidR="009207B0" w:rsidRPr="00432E76" w:rsidRDefault="00BC199E" w:rsidP="00432E76">
            <w:pPr>
              <w:spacing w:line="360" w:lineRule="auto"/>
              <w:rPr>
                <w:rFonts w:asciiTheme="minorEastAsia" w:eastAsiaTheme="minorEastAsia" w:hAnsiTheme="minorEastAsia"/>
                <w:sz w:val="24"/>
                <w:szCs w:val="24"/>
              </w:rPr>
            </w:pPr>
            <w:r w:rsidRPr="00BC199E">
              <w:rPr>
                <w:rFonts w:asciiTheme="minorEastAsia" w:eastAsiaTheme="minorEastAsia" w:hAnsiTheme="minorEastAsia"/>
                <w:sz w:val="24"/>
                <w:szCs w:val="24"/>
              </w:rPr>
              <w:t>1.1332</w:t>
            </w:r>
          </w:p>
        </w:tc>
      </w:tr>
      <w:tr w:rsidR="009207B0" w:rsidRPr="00E04A73" w:rsidTr="004F71CD">
        <w:trPr>
          <w:jc w:val="center"/>
        </w:trPr>
        <w:tc>
          <w:tcPr>
            <w:tcW w:w="1413" w:type="dxa"/>
            <w:vMerge/>
            <w:vAlign w:val="center"/>
          </w:tcPr>
          <w:p w:rsidR="009207B0" w:rsidRPr="00E04A73" w:rsidRDefault="009207B0" w:rsidP="003822CA">
            <w:pPr>
              <w:spacing w:line="360" w:lineRule="auto"/>
              <w:rPr>
                <w:rFonts w:eastAsiaTheme="minorEastAsia"/>
                <w:color w:val="000000"/>
                <w:sz w:val="24"/>
                <w:szCs w:val="24"/>
              </w:rPr>
            </w:pPr>
          </w:p>
        </w:tc>
        <w:tc>
          <w:tcPr>
            <w:tcW w:w="1984" w:type="dxa"/>
            <w:vAlign w:val="center"/>
          </w:tcPr>
          <w:p w:rsidR="009207B0" w:rsidRPr="00E04A73" w:rsidRDefault="009207B0" w:rsidP="003822CA">
            <w:pPr>
              <w:snapToGrid w:val="0"/>
              <w:spacing w:line="288" w:lineRule="auto"/>
              <w:rPr>
                <w:rFonts w:eastAsiaTheme="minorEastAsia"/>
                <w:color w:val="000000"/>
                <w:sz w:val="24"/>
                <w:szCs w:val="24"/>
              </w:rPr>
            </w:pPr>
            <w:r w:rsidRPr="00E04A73">
              <w:rPr>
                <w:rFonts w:eastAsiaTheme="minorEastAsia"/>
                <w:color w:val="000000"/>
                <w:sz w:val="24"/>
                <w:szCs w:val="24"/>
              </w:rPr>
              <w:t>基准日基金份额可供分配利润</w:t>
            </w:r>
            <w:r w:rsidRPr="00E04A73">
              <w:rPr>
                <w:rFonts w:eastAsiaTheme="minorEastAsia"/>
                <w:sz w:val="24"/>
                <w:szCs w:val="24"/>
              </w:rPr>
              <w:t>（单位：</w:t>
            </w:r>
            <w:r w:rsidR="00C05D7C">
              <w:rPr>
                <w:rFonts w:eastAsiaTheme="minorEastAsia" w:hint="eastAsia"/>
                <w:sz w:val="24"/>
                <w:szCs w:val="24"/>
              </w:rPr>
              <w:t>人民币</w:t>
            </w:r>
            <w:r w:rsidRPr="00E04A73">
              <w:rPr>
                <w:rFonts w:eastAsiaTheme="minorEastAsia"/>
                <w:color w:val="000000"/>
                <w:kern w:val="0"/>
                <w:sz w:val="24"/>
                <w:szCs w:val="24"/>
              </w:rPr>
              <w:t>元</w:t>
            </w:r>
            <w:r w:rsidRPr="00E04A73">
              <w:rPr>
                <w:rFonts w:eastAsiaTheme="minorEastAsia"/>
                <w:sz w:val="24"/>
                <w:szCs w:val="24"/>
              </w:rPr>
              <w:t>）</w:t>
            </w:r>
          </w:p>
        </w:tc>
        <w:tc>
          <w:tcPr>
            <w:tcW w:w="5358" w:type="dxa"/>
            <w:vAlign w:val="center"/>
          </w:tcPr>
          <w:p w:rsidR="009207B0" w:rsidRPr="00432E76" w:rsidRDefault="00BC199E" w:rsidP="00432E76">
            <w:pPr>
              <w:spacing w:line="360" w:lineRule="auto"/>
              <w:rPr>
                <w:rFonts w:asciiTheme="minorEastAsia" w:eastAsiaTheme="minorEastAsia" w:hAnsiTheme="minorEastAsia"/>
                <w:sz w:val="24"/>
                <w:szCs w:val="24"/>
              </w:rPr>
            </w:pPr>
            <w:r w:rsidRPr="00BC199E">
              <w:rPr>
                <w:rFonts w:asciiTheme="minorEastAsia" w:eastAsiaTheme="minorEastAsia" w:hAnsiTheme="minorEastAsia"/>
                <w:sz w:val="24"/>
                <w:szCs w:val="24"/>
              </w:rPr>
              <w:t>60,253,992.36</w:t>
            </w:r>
            <w:r w:rsidR="00F55A35" w:rsidRPr="00432E76">
              <w:rPr>
                <w:rFonts w:asciiTheme="minorEastAsia" w:eastAsiaTheme="minorEastAsia" w:hAnsiTheme="minorEastAsia" w:hint="eastAsia"/>
                <w:sz w:val="24"/>
                <w:szCs w:val="24"/>
              </w:rPr>
              <w:t xml:space="preserve"> </w:t>
            </w:r>
          </w:p>
        </w:tc>
      </w:tr>
      <w:tr w:rsidR="009207B0" w:rsidRPr="00E04A73" w:rsidTr="004F71CD">
        <w:trPr>
          <w:jc w:val="center"/>
        </w:trPr>
        <w:tc>
          <w:tcPr>
            <w:tcW w:w="1413" w:type="dxa"/>
            <w:vMerge/>
            <w:vAlign w:val="center"/>
          </w:tcPr>
          <w:p w:rsidR="009207B0" w:rsidRPr="00E04A73" w:rsidRDefault="009207B0" w:rsidP="009207B0">
            <w:pPr>
              <w:spacing w:line="360" w:lineRule="auto"/>
              <w:rPr>
                <w:rFonts w:eastAsiaTheme="minorEastAsia"/>
                <w:color w:val="000000"/>
                <w:sz w:val="24"/>
                <w:szCs w:val="24"/>
              </w:rPr>
            </w:pPr>
          </w:p>
        </w:tc>
        <w:tc>
          <w:tcPr>
            <w:tcW w:w="1984" w:type="dxa"/>
            <w:vAlign w:val="center"/>
          </w:tcPr>
          <w:p w:rsidR="009207B0" w:rsidRPr="00E04A73" w:rsidRDefault="009207B0" w:rsidP="009207B0">
            <w:pPr>
              <w:snapToGrid w:val="0"/>
              <w:spacing w:line="288" w:lineRule="auto"/>
              <w:rPr>
                <w:rFonts w:eastAsiaTheme="minorEastAsia"/>
                <w:color w:val="000000"/>
                <w:sz w:val="24"/>
                <w:szCs w:val="24"/>
              </w:rPr>
            </w:pPr>
            <w:r>
              <w:rPr>
                <w:rFonts w:eastAsiaTheme="minorEastAsia"/>
                <w:color w:val="000000"/>
                <w:sz w:val="24"/>
                <w:szCs w:val="24"/>
              </w:rPr>
              <w:t>截止基准日按照基金合同约定的分红比例计算的应分配金额</w:t>
            </w:r>
            <w:r>
              <w:rPr>
                <w:rFonts w:eastAsiaTheme="minorEastAsia"/>
                <w:sz w:val="24"/>
                <w:szCs w:val="24"/>
              </w:rPr>
              <w:t>（单位：</w:t>
            </w:r>
            <w:r w:rsidR="00C05D7C">
              <w:rPr>
                <w:rFonts w:eastAsiaTheme="minorEastAsia" w:hint="eastAsia"/>
                <w:sz w:val="24"/>
                <w:szCs w:val="24"/>
              </w:rPr>
              <w:t>人民币</w:t>
            </w:r>
            <w:r>
              <w:rPr>
                <w:rFonts w:eastAsiaTheme="minorEastAsia"/>
                <w:color w:val="000000"/>
                <w:kern w:val="0"/>
                <w:sz w:val="24"/>
                <w:szCs w:val="24"/>
              </w:rPr>
              <w:t>元</w:t>
            </w:r>
            <w:r>
              <w:rPr>
                <w:rFonts w:eastAsiaTheme="minorEastAsia"/>
                <w:sz w:val="24"/>
                <w:szCs w:val="24"/>
              </w:rPr>
              <w:t>）</w:t>
            </w:r>
          </w:p>
        </w:tc>
        <w:tc>
          <w:tcPr>
            <w:tcW w:w="5358" w:type="dxa"/>
            <w:vAlign w:val="center"/>
          </w:tcPr>
          <w:p w:rsidR="009207B0" w:rsidRPr="00B44B53" w:rsidRDefault="009207B0" w:rsidP="009207B0">
            <w:pPr>
              <w:snapToGrid w:val="0"/>
              <w:spacing w:line="288" w:lineRule="auto"/>
              <w:rPr>
                <w:rFonts w:eastAsiaTheme="minorEastAsia"/>
                <w:sz w:val="24"/>
                <w:szCs w:val="24"/>
              </w:rPr>
            </w:pPr>
            <w:r>
              <w:rPr>
                <w:rFonts w:eastAsiaTheme="minorEastAsia"/>
                <w:sz w:val="24"/>
                <w:szCs w:val="24"/>
              </w:rPr>
              <w:t>--</w:t>
            </w:r>
          </w:p>
        </w:tc>
      </w:tr>
      <w:tr w:rsidR="009207B0" w:rsidRPr="00E04A73" w:rsidTr="004F71CD">
        <w:trPr>
          <w:jc w:val="center"/>
        </w:trPr>
        <w:tc>
          <w:tcPr>
            <w:tcW w:w="3397" w:type="dxa"/>
            <w:gridSpan w:val="2"/>
            <w:vAlign w:val="center"/>
          </w:tcPr>
          <w:p w:rsidR="009207B0" w:rsidRPr="00432E76" w:rsidRDefault="009207B0" w:rsidP="00432E76">
            <w:pPr>
              <w:spacing w:line="360" w:lineRule="auto"/>
              <w:rPr>
                <w:rFonts w:asciiTheme="minorEastAsia" w:eastAsiaTheme="minorEastAsia" w:hAnsiTheme="minorEastAsia"/>
                <w:sz w:val="24"/>
                <w:szCs w:val="24"/>
              </w:rPr>
            </w:pPr>
            <w:r w:rsidRPr="00432E76">
              <w:rPr>
                <w:rFonts w:asciiTheme="minorEastAsia" w:eastAsiaTheme="minorEastAsia" w:hAnsiTheme="minorEastAsia"/>
                <w:sz w:val="24"/>
                <w:szCs w:val="24"/>
              </w:rPr>
              <w:t>本次下属基金份额分红方案</w:t>
            </w:r>
          </w:p>
          <w:p w:rsidR="009207B0" w:rsidRPr="00432E76" w:rsidRDefault="009207B0" w:rsidP="00432E76">
            <w:pPr>
              <w:spacing w:line="360" w:lineRule="auto"/>
              <w:rPr>
                <w:rFonts w:asciiTheme="minorEastAsia" w:eastAsiaTheme="minorEastAsia" w:hAnsiTheme="minorEastAsia"/>
                <w:sz w:val="24"/>
                <w:szCs w:val="24"/>
              </w:rPr>
            </w:pPr>
            <w:r w:rsidRPr="00432E76">
              <w:rPr>
                <w:rFonts w:asciiTheme="minorEastAsia" w:eastAsiaTheme="minorEastAsia" w:hAnsiTheme="minorEastAsia"/>
                <w:sz w:val="24"/>
                <w:szCs w:val="24"/>
              </w:rPr>
              <w:t>（单位：</w:t>
            </w:r>
            <w:r w:rsidR="00C05D7C" w:rsidRPr="00432E76">
              <w:rPr>
                <w:rFonts w:asciiTheme="minorEastAsia" w:eastAsiaTheme="minorEastAsia" w:hAnsiTheme="minorEastAsia" w:hint="eastAsia"/>
                <w:sz w:val="24"/>
                <w:szCs w:val="24"/>
              </w:rPr>
              <w:t>人民币</w:t>
            </w:r>
            <w:r w:rsidRPr="00432E76">
              <w:rPr>
                <w:rFonts w:asciiTheme="minorEastAsia" w:eastAsiaTheme="minorEastAsia" w:hAnsiTheme="minorEastAsia"/>
                <w:sz w:val="24"/>
                <w:szCs w:val="24"/>
              </w:rPr>
              <w:t>元/10份基金份额）</w:t>
            </w:r>
          </w:p>
        </w:tc>
        <w:tc>
          <w:tcPr>
            <w:tcW w:w="5358" w:type="dxa"/>
            <w:vAlign w:val="center"/>
          </w:tcPr>
          <w:p w:rsidR="009207B0" w:rsidRPr="00432E76" w:rsidRDefault="00F55A35" w:rsidP="00BC199E">
            <w:pPr>
              <w:spacing w:line="360" w:lineRule="auto"/>
              <w:rPr>
                <w:rFonts w:asciiTheme="minorEastAsia" w:eastAsiaTheme="minorEastAsia" w:hAnsiTheme="minorEastAsia"/>
                <w:sz w:val="24"/>
                <w:szCs w:val="24"/>
              </w:rPr>
            </w:pPr>
            <w:r w:rsidRPr="00432E76">
              <w:rPr>
                <w:rFonts w:asciiTheme="minorEastAsia" w:eastAsiaTheme="minorEastAsia" w:hAnsiTheme="minorEastAsia" w:hint="eastAsia"/>
                <w:sz w:val="24"/>
                <w:szCs w:val="24"/>
              </w:rPr>
              <w:t>0.</w:t>
            </w:r>
            <w:r w:rsidR="00BC199E">
              <w:rPr>
                <w:rFonts w:asciiTheme="minorEastAsia" w:eastAsiaTheme="minorEastAsia" w:hAnsiTheme="minorEastAsia"/>
                <w:sz w:val="24"/>
                <w:szCs w:val="24"/>
              </w:rPr>
              <w:t>17</w:t>
            </w:r>
          </w:p>
        </w:tc>
      </w:tr>
      <w:tr w:rsidR="009207B0" w:rsidRPr="00E04A73" w:rsidTr="004F71CD">
        <w:trPr>
          <w:jc w:val="center"/>
        </w:trPr>
        <w:tc>
          <w:tcPr>
            <w:tcW w:w="3397" w:type="dxa"/>
            <w:gridSpan w:val="2"/>
            <w:vAlign w:val="center"/>
          </w:tcPr>
          <w:p w:rsidR="009207B0" w:rsidRPr="00E04A73" w:rsidRDefault="009207B0" w:rsidP="009207B0">
            <w:pPr>
              <w:spacing w:line="360" w:lineRule="auto"/>
              <w:rPr>
                <w:rFonts w:eastAsiaTheme="minorEastAsia"/>
                <w:color w:val="000000"/>
                <w:sz w:val="24"/>
                <w:szCs w:val="24"/>
              </w:rPr>
            </w:pPr>
            <w:r w:rsidRPr="00E04A73">
              <w:rPr>
                <w:rFonts w:eastAsiaTheme="minorEastAsia"/>
                <w:color w:val="000000"/>
                <w:sz w:val="24"/>
                <w:szCs w:val="24"/>
              </w:rPr>
              <w:t>有关年度分红次数的说明</w:t>
            </w:r>
          </w:p>
        </w:tc>
        <w:tc>
          <w:tcPr>
            <w:tcW w:w="5358" w:type="dxa"/>
            <w:vAlign w:val="center"/>
          </w:tcPr>
          <w:p w:rsidR="009207B0" w:rsidRPr="00E04A73" w:rsidRDefault="009207B0" w:rsidP="00BC199E">
            <w:pPr>
              <w:spacing w:line="360" w:lineRule="auto"/>
              <w:rPr>
                <w:rFonts w:eastAsiaTheme="minorEastAsia"/>
                <w:sz w:val="24"/>
                <w:szCs w:val="24"/>
              </w:rPr>
            </w:pPr>
            <w:r w:rsidRPr="00E04A73">
              <w:rPr>
                <w:rFonts w:eastAsiaTheme="minorEastAsia"/>
                <w:sz w:val="24"/>
                <w:szCs w:val="24"/>
              </w:rPr>
              <w:t>本次分红为</w:t>
            </w:r>
            <w:r w:rsidR="00BC199E" w:rsidRPr="00E04A73">
              <w:rPr>
                <w:rFonts w:eastAsiaTheme="minorEastAsia"/>
                <w:sz w:val="24"/>
                <w:szCs w:val="24"/>
              </w:rPr>
              <w:t>202</w:t>
            </w:r>
            <w:r w:rsidR="00BC199E">
              <w:rPr>
                <w:rFonts w:eastAsiaTheme="minorEastAsia"/>
                <w:sz w:val="24"/>
                <w:szCs w:val="24"/>
              </w:rPr>
              <w:t>5</w:t>
            </w:r>
            <w:r w:rsidRPr="00E04A73">
              <w:rPr>
                <w:rFonts w:eastAsiaTheme="minorEastAsia"/>
                <w:sz w:val="24"/>
                <w:szCs w:val="24"/>
              </w:rPr>
              <w:t>年第</w:t>
            </w:r>
            <w:r w:rsidR="00F55A35">
              <w:rPr>
                <w:rFonts w:eastAsiaTheme="minorEastAsia" w:hint="eastAsia"/>
                <w:sz w:val="24"/>
                <w:szCs w:val="24"/>
              </w:rPr>
              <w:t>一</w:t>
            </w:r>
            <w:r w:rsidRPr="00E04A73">
              <w:rPr>
                <w:rFonts w:eastAsiaTheme="minorEastAsia"/>
                <w:sz w:val="24"/>
                <w:szCs w:val="24"/>
              </w:rPr>
              <w:t>次分红</w:t>
            </w:r>
          </w:p>
        </w:tc>
      </w:tr>
    </w:tbl>
    <w:p w:rsidR="009C7860" w:rsidRPr="00E04A73" w:rsidRDefault="009F1CC4">
      <w:pPr>
        <w:spacing w:line="360" w:lineRule="auto"/>
        <w:rPr>
          <w:rFonts w:eastAsiaTheme="minorEastAsia"/>
          <w:sz w:val="24"/>
          <w:szCs w:val="24"/>
        </w:rPr>
      </w:pPr>
      <w:r w:rsidRPr="00E04A73">
        <w:rPr>
          <w:rFonts w:eastAsiaTheme="minorEastAsia"/>
          <w:sz w:val="24"/>
          <w:szCs w:val="24"/>
        </w:rPr>
        <w:t>注：本次分红方案是指本基金每十份基金份额发放红利</w:t>
      </w:r>
      <w:r w:rsidR="00FA078E" w:rsidRPr="00FA078E">
        <w:rPr>
          <w:rFonts w:eastAsiaTheme="minorEastAsia"/>
          <w:sz w:val="24"/>
          <w:szCs w:val="24"/>
        </w:rPr>
        <w:t>0.</w:t>
      </w:r>
      <w:r w:rsidR="00BC199E">
        <w:rPr>
          <w:rFonts w:eastAsiaTheme="minorEastAsia"/>
          <w:sz w:val="24"/>
          <w:szCs w:val="24"/>
        </w:rPr>
        <w:t>17</w:t>
      </w:r>
      <w:r w:rsidRPr="00E04A73">
        <w:rPr>
          <w:rFonts w:eastAsiaTheme="minorEastAsia"/>
          <w:sz w:val="24"/>
          <w:szCs w:val="24"/>
        </w:rPr>
        <w:t>元。</w:t>
      </w:r>
    </w:p>
    <w:p w:rsidR="009C7860" w:rsidRPr="00E04A73" w:rsidRDefault="009F1CC4">
      <w:pPr>
        <w:pStyle w:val="2"/>
        <w:spacing w:line="360" w:lineRule="auto"/>
        <w:rPr>
          <w:rFonts w:ascii="Times New Roman" w:eastAsiaTheme="minorEastAsia" w:hAnsi="Times New Roman"/>
          <w:bCs w:val="0"/>
          <w:color w:val="000000"/>
          <w:sz w:val="24"/>
          <w:szCs w:val="24"/>
        </w:rPr>
      </w:pPr>
      <w:bookmarkStart w:id="2" w:name="_Toc275961419"/>
      <w:r w:rsidRPr="00E04A73">
        <w:rPr>
          <w:rFonts w:ascii="Times New Roman" w:eastAsiaTheme="minorEastAsia" w:hAnsi="Times New Roman"/>
          <w:bCs w:val="0"/>
          <w:color w:val="000000"/>
          <w:sz w:val="24"/>
          <w:szCs w:val="24"/>
        </w:rPr>
        <w:lastRenderedPageBreak/>
        <w:t xml:space="preserve">2 </w:t>
      </w:r>
      <w:r w:rsidRPr="00E04A73">
        <w:rPr>
          <w:rFonts w:ascii="Times New Roman" w:eastAsiaTheme="minorEastAsia" w:hAnsi="Times New Roman"/>
          <w:bCs w:val="0"/>
          <w:color w:val="000000"/>
          <w:sz w:val="24"/>
          <w:szCs w:val="24"/>
        </w:rPr>
        <w:t>与分红相关的其他信息</w:t>
      </w:r>
      <w:bookmarkEnd w:id="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6146"/>
      </w:tblGrid>
      <w:tr w:rsidR="009C7860" w:rsidRPr="00E04A73">
        <w:trPr>
          <w:jc w:val="center"/>
        </w:trPr>
        <w:tc>
          <w:tcPr>
            <w:tcW w:w="2376" w:type="dxa"/>
            <w:vAlign w:val="center"/>
          </w:tcPr>
          <w:p w:rsidR="009C7860" w:rsidRPr="00E04A73" w:rsidRDefault="009F1CC4">
            <w:pPr>
              <w:spacing w:line="360" w:lineRule="auto"/>
              <w:rPr>
                <w:rFonts w:eastAsiaTheme="minorEastAsia"/>
                <w:sz w:val="24"/>
                <w:szCs w:val="24"/>
              </w:rPr>
            </w:pPr>
            <w:r w:rsidRPr="00E04A73">
              <w:rPr>
                <w:rFonts w:eastAsiaTheme="minorEastAsia"/>
                <w:sz w:val="24"/>
                <w:szCs w:val="24"/>
              </w:rPr>
              <w:t>权益登记日</w:t>
            </w:r>
          </w:p>
        </w:tc>
        <w:tc>
          <w:tcPr>
            <w:tcW w:w="6146" w:type="dxa"/>
          </w:tcPr>
          <w:p w:rsidR="009C7860" w:rsidRPr="00E04A73" w:rsidRDefault="001408A7" w:rsidP="001408A7">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00C05D7C" w:rsidRPr="00E04A73">
              <w:rPr>
                <w:rFonts w:eastAsiaTheme="minorEastAsia"/>
                <w:sz w:val="24"/>
                <w:szCs w:val="24"/>
              </w:rPr>
              <w:t>年</w:t>
            </w:r>
            <w:r w:rsidR="00C05D7C">
              <w:rPr>
                <w:rFonts w:eastAsiaTheme="minorEastAsia"/>
                <w:sz w:val="24"/>
                <w:szCs w:val="24"/>
              </w:rPr>
              <w:t>12</w:t>
            </w:r>
            <w:r w:rsidR="009F1CC4" w:rsidRPr="00E04A73">
              <w:rPr>
                <w:rFonts w:eastAsiaTheme="minorEastAsia"/>
                <w:sz w:val="24"/>
                <w:szCs w:val="24"/>
              </w:rPr>
              <w:t>月</w:t>
            </w:r>
            <w:r>
              <w:rPr>
                <w:rFonts w:eastAsiaTheme="minorEastAsia"/>
                <w:sz w:val="24"/>
                <w:szCs w:val="24"/>
              </w:rPr>
              <w:t>25</w:t>
            </w:r>
            <w:r w:rsidR="009F1CC4" w:rsidRPr="00E04A73">
              <w:rPr>
                <w:rFonts w:eastAsiaTheme="minorEastAsia"/>
                <w:sz w:val="24"/>
                <w:szCs w:val="24"/>
              </w:rPr>
              <w:t>日</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除息日</w:t>
            </w:r>
          </w:p>
        </w:tc>
        <w:tc>
          <w:tcPr>
            <w:tcW w:w="6146" w:type="dxa"/>
          </w:tcPr>
          <w:p w:rsidR="009C7860" w:rsidRPr="00E04A73" w:rsidRDefault="001408A7" w:rsidP="001408A7">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00F55A35" w:rsidRPr="00E04A73">
              <w:rPr>
                <w:rFonts w:eastAsiaTheme="minorEastAsia"/>
                <w:sz w:val="24"/>
                <w:szCs w:val="24"/>
              </w:rPr>
              <w:t>年</w:t>
            </w:r>
            <w:r w:rsidR="00F55A35">
              <w:rPr>
                <w:rFonts w:eastAsiaTheme="minorEastAsia"/>
                <w:sz w:val="24"/>
                <w:szCs w:val="24"/>
              </w:rPr>
              <w:t>12</w:t>
            </w:r>
            <w:r w:rsidR="00F55A35" w:rsidRPr="00E04A73">
              <w:rPr>
                <w:rFonts w:eastAsiaTheme="minorEastAsia"/>
                <w:sz w:val="24"/>
                <w:szCs w:val="24"/>
              </w:rPr>
              <w:t>月</w:t>
            </w:r>
            <w:r>
              <w:rPr>
                <w:rFonts w:eastAsiaTheme="minorEastAsia"/>
                <w:sz w:val="24"/>
                <w:szCs w:val="24"/>
              </w:rPr>
              <w:t>25</w:t>
            </w:r>
            <w:r w:rsidR="0067216A" w:rsidRPr="00E04A73">
              <w:rPr>
                <w:rFonts w:eastAsiaTheme="minorEastAsia"/>
                <w:sz w:val="24"/>
                <w:szCs w:val="24"/>
              </w:rPr>
              <w:t>日</w:t>
            </w:r>
            <w:r w:rsidR="009F1CC4" w:rsidRPr="00E04A73">
              <w:rPr>
                <w:rFonts w:eastAsiaTheme="minorEastAsia"/>
                <w:sz w:val="24"/>
                <w:szCs w:val="24"/>
              </w:rPr>
              <w:t>（场外）</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现金红利发放日</w:t>
            </w:r>
          </w:p>
        </w:tc>
        <w:tc>
          <w:tcPr>
            <w:tcW w:w="6146" w:type="dxa"/>
          </w:tcPr>
          <w:p w:rsidR="009C7860" w:rsidRPr="00E04A73" w:rsidRDefault="001408A7" w:rsidP="001408A7">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00C05D7C" w:rsidRPr="00E04A73">
              <w:rPr>
                <w:rFonts w:eastAsiaTheme="minorEastAsia"/>
                <w:sz w:val="24"/>
                <w:szCs w:val="24"/>
              </w:rPr>
              <w:t>年</w:t>
            </w:r>
            <w:r w:rsidR="00C05D7C">
              <w:rPr>
                <w:rFonts w:eastAsiaTheme="minorEastAsia"/>
                <w:sz w:val="24"/>
                <w:szCs w:val="24"/>
              </w:rPr>
              <w:t>12</w:t>
            </w:r>
            <w:r w:rsidR="00B87356" w:rsidRPr="00E04A73">
              <w:rPr>
                <w:rFonts w:eastAsiaTheme="minorEastAsia"/>
                <w:sz w:val="24"/>
                <w:szCs w:val="24"/>
              </w:rPr>
              <w:t>月</w:t>
            </w:r>
            <w:r>
              <w:rPr>
                <w:rFonts w:eastAsiaTheme="minorEastAsia"/>
                <w:sz w:val="24"/>
                <w:szCs w:val="24"/>
              </w:rPr>
              <w:t>29</w:t>
            </w:r>
            <w:r w:rsidR="0067216A" w:rsidRPr="00E04A73">
              <w:rPr>
                <w:rFonts w:eastAsiaTheme="minorEastAsia"/>
                <w:sz w:val="24"/>
                <w:szCs w:val="24"/>
              </w:rPr>
              <w:t>日</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分红对象</w:t>
            </w:r>
          </w:p>
        </w:tc>
        <w:tc>
          <w:tcPr>
            <w:tcW w:w="6146" w:type="dxa"/>
            <w:shd w:val="clear" w:color="auto" w:fill="auto"/>
          </w:tcPr>
          <w:p w:rsidR="009C7860" w:rsidRPr="00E04A73" w:rsidRDefault="009F1CC4">
            <w:pPr>
              <w:spacing w:line="360" w:lineRule="auto"/>
              <w:rPr>
                <w:rFonts w:eastAsiaTheme="minorEastAsia"/>
                <w:sz w:val="24"/>
                <w:szCs w:val="24"/>
              </w:rPr>
            </w:pPr>
            <w:r w:rsidRPr="00E04A73">
              <w:rPr>
                <w:rFonts w:eastAsiaTheme="minorEastAsia"/>
                <w:sz w:val="24"/>
                <w:szCs w:val="24"/>
              </w:rPr>
              <w:t>权益登记日在金鹰基金管理有限公司登记在册的本基金全体持有人。</w:t>
            </w:r>
          </w:p>
        </w:tc>
      </w:tr>
      <w:tr w:rsidR="009C7860" w:rsidRPr="00E04A73">
        <w:trPr>
          <w:jc w:val="center"/>
        </w:trPr>
        <w:tc>
          <w:tcPr>
            <w:tcW w:w="2376" w:type="dxa"/>
            <w:shd w:val="clear" w:color="auto" w:fill="auto"/>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红利再投资相关事项的说明</w:t>
            </w:r>
          </w:p>
        </w:tc>
        <w:tc>
          <w:tcPr>
            <w:tcW w:w="6146" w:type="dxa"/>
            <w:shd w:val="clear" w:color="auto" w:fill="auto"/>
          </w:tcPr>
          <w:p w:rsidR="009C7860" w:rsidRPr="00E04A73" w:rsidRDefault="009F1CC4" w:rsidP="001408A7">
            <w:pPr>
              <w:spacing w:line="360" w:lineRule="auto"/>
              <w:rPr>
                <w:rFonts w:eastAsiaTheme="minorEastAsia"/>
                <w:sz w:val="24"/>
                <w:szCs w:val="24"/>
              </w:rPr>
            </w:pPr>
            <w:r w:rsidRPr="00E04A73">
              <w:rPr>
                <w:rFonts w:eastAsiaTheme="minorEastAsia"/>
                <w:sz w:val="24"/>
                <w:szCs w:val="24"/>
              </w:rPr>
              <w:t>选择红利再投资的投资者，其现金红利将按</w:t>
            </w:r>
            <w:r w:rsidR="001408A7" w:rsidRPr="00E04A73">
              <w:rPr>
                <w:rFonts w:eastAsiaTheme="minorEastAsia"/>
                <w:sz w:val="24"/>
                <w:szCs w:val="24"/>
              </w:rPr>
              <w:t>202</w:t>
            </w:r>
            <w:r w:rsidR="001408A7">
              <w:rPr>
                <w:rFonts w:eastAsiaTheme="minorEastAsia"/>
                <w:sz w:val="24"/>
                <w:szCs w:val="24"/>
              </w:rPr>
              <w:t>5</w:t>
            </w:r>
            <w:r w:rsidR="00C05D7C" w:rsidRPr="00E04A73">
              <w:rPr>
                <w:rFonts w:eastAsiaTheme="minorEastAsia"/>
                <w:sz w:val="24"/>
                <w:szCs w:val="24"/>
              </w:rPr>
              <w:t>年</w:t>
            </w:r>
            <w:r w:rsidR="00C05D7C">
              <w:rPr>
                <w:rFonts w:eastAsiaTheme="minorEastAsia"/>
                <w:sz w:val="24"/>
                <w:szCs w:val="24"/>
              </w:rPr>
              <w:t>12</w:t>
            </w:r>
            <w:r w:rsidR="00B87356" w:rsidRPr="00E04A73">
              <w:rPr>
                <w:rFonts w:eastAsiaTheme="minorEastAsia"/>
                <w:sz w:val="24"/>
                <w:szCs w:val="24"/>
              </w:rPr>
              <w:t>月</w:t>
            </w:r>
            <w:r w:rsidR="001408A7">
              <w:rPr>
                <w:rFonts w:eastAsiaTheme="minorEastAsia"/>
                <w:sz w:val="24"/>
                <w:szCs w:val="24"/>
              </w:rPr>
              <w:t>25</w:t>
            </w:r>
            <w:r w:rsidR="0067216A" w:rsidRPr="00E04A73">
              <w:rPr>
                <w:rFonts w:eastAsiaTheme="minorEastAsia"/>
                <w:sz w:val="24"/>
                <w:szCs w:val="24"/>
              </w:rPr>
              <w:t>日</w:t>
            </w:r>
            <w:r w:rsidRPr="00E04A73">
              <w:rPr>
                <w:rFonts w:eastAsiaTheme="minorEastAsia"/>
                <w:sz w:val="24"/>
                <w:szCs w:val="24"/>
              </w:rPr>
              <w:t>除息后的基金份额净值转换为基金份额数，于</w:t>
            </w:r>
            <w:r w:rsidR="001408A7" w:rsidRPr="00E04A73">
              <w:rPr>
                <w:rFonts w:eastAsiaTheme="minorEastAsia"/>
                <w:sz w:val="24"/>
                <w:szCs w:val="24"/>
              </w:rPr>
              <w:t>202</w:t>
            </w:r>
            <w:r w:rsidR="001408A7">
              <w:rPr>
                <w:rFonts w:eastAsiaTheme="minorEastAsia"/>
                <w:sz w:val="24"/>
                <w:szCs w:val="24"/>
              </w:rPr>
              <w:t>5</w:t>
            </w:r>
            <w:r w:rsidR="00C05D7C" w:rsidRPr="00E04A73">
              <w:rPr>
                <w:rFonts w:eastAsiaTheme="minorEastAsia"/>
                <w:sz w:val="24"/>
                <w:szCs w:val="24"/>
              </w:rPr>
              <w:t>年</w:t>
            </w:r>
            <w:r w:rsidR="00C05D7C">
              <w:rPr>
                <w:rFonts w:eastAsiaTheme="minorEastAsia" w:hint="eastAsia"/>
                <w:sz w:val="24"/>
                <w:szCs w:val="24"/>
              </w:rPr>
              <w:t>1</w:t>
            </w:r>
            <w:r w:rsidR="00C05D7C">
              <w:rPr>
                <w:rFonts w:eastAsiaTheme="minorEastAsia"/>
                <w:sz w:val="24"/>
                <w:szCs w:val="24"/>
              </w:rPr>
              <w:t>2</w:t>
            </w:r>
            <w:r w:rsidR="00B87356" w:rsidRPr="00E04A73">
              <w:rPr>
                <w:rFonts w:eastAsiaTheme="minorEastAsia"/>
                <w:sz w:val="24"/>
                <w:szCs w:val="24"/>
              </w:rPr>
              <w:t>月</w:t>
            </w:r>
            <w:r w:rsidR="001408A7">
              <w:rPr>
                <w:rFonts w:eastAsiaTheme="minorEastAsia"/>
                <w:sz w:val="24"/>
                <w:szCs w:val="24"/>
              </w:rPr>
              <w:t>26</w:t>
            </w:r>
            <w:r w:rsidR="0067216A" w:rsidRPr="00E04A73">
              <w:rPr>
                <w:rFonts w:eastAsiaTheme="minorEastAsia"/>
                <w:sz w:val="24"/>
                <w:szCs w:val="24"/>
              </w:rPr>
              <w:t>日</w:t>
            </w:r>
            <w:r w:rsidRPr="00E04A73">
              <w:rPr>
                <w:rFonts w:eastAsiaTheme="minorEastAsia"/>
                <w:sz w:val="24"/>
                <w:szCs w:val="24"/>
              </w:rPr>
              <w:t>直接计入其基金账户，投资者可于</w:t>
            </w:r>
            <w:r w:rsidR="001408A7" w:rsidRPr="00E04A73">
              <w:rPr>
                <w:rFonts w:eastAsiaTheme="minorEastAsia"/>
                <w:sz w:val="24"/>
                <w:szCs w:val="24"/>
              </w:rPr>
              <w:t>202</w:t>
            </w:r>
            <w:r w:rsidR="001408A7">
              <w:rPr>
                <w:rFonts w:eastAsiaTheme="minorEastAsia"/>
                <w:sz w:val="24"/>
                <w:szCs w:val="24"/>
              </w:rPr>
              <w:t>5</w:t>
            </w:r>
            <w:r w:rsidR="00F55A35" w:rsidRPr="00E04A73">
              <w:rPr>
                <w:rFonts w:eastAsiaTheme="minorEastAsia"/>
                <w:sz w:val="24"/>
                <w:szCs w:val="24"/>
              </w:rPr>
              <w:t>年</w:t>
            </w:r>
            <w:r w:rsidR="00F55A35">
              <w:rPr>
                <w:rFonts w:eastAsiaTheme="minorEastAsia"/>
                <w:sz w:val="24"/>
                <w:szCs w:val="24"/>
              </w:rPr>
              <w:t>12</w:t>
            </w:r>
            <w:r w:rsidR="00F55A35" w:rsidRPr="00E04A73">
              <w:rPr>
                <w:rFonts w:eastAsiaTheme="minorEastAsia"/>
                <w:sz w:val="24"/>
                <w:szCs w:val="24"/>
              </w:rPr>
              <w:t>月</w:t>
            </w:r>
            <w:r w:rsidR="001408A7">
              <w:rPr>
                <w:rFonts w:eastAsiaTheme="minorEastAsia"/>
                <w:sz w:val="24"/>
                <w:szCs w:val="24"/>
              </w:rPr>
              <w:t>29</w:t>
            </w:r>
            <w:r w:rsidR="0067216A" w:rsidRPr="00E04A73">
              <w:rPr>
                <w:rFonts w:eastAsiaTheme="minorEastAsia"/>
                <w:sz w:val="24"/>
                <w:szCs w:val="24"/>
              </w:rPr>
              <w:t>日</w:t>
            </w:r>
            <w:r w:rsidRPr="00E04A73">
              <w:rPr>
                <w:rFonts w:eastAsiaTheme="minorEastAsia"/>
                <w:sz w:val="24"/>
                <w:szCs w:val="24"/>
              </w:rPr>
              <w:t>后到各销</w:t>
            </w:r>
            <w:r w:rsidR="00C05D7C">
              <w:rPr>
                <w:rFonts w:eastAsiaTheme="minorEastAsia" w:hint="eastAsia"/>
                <w:sz w:val="24"/>
                <w:szCs w:val="24"/>
              </w:rPr>
              <w:t>售</w:t>
            </w:r>
            <w:r w:rsidRPr="00E04A73">
              <w:rPr>
                <w:rFonts w:eastAsiaTheme="minorEastAsia"/>
                <w:sz w:val="24"/>
                <w:szCs w:val="24"/>
              </w:rPr>
              <w:t>机构查询。</w:t>
            </w:r>
            <w:r w:rsidR="0067216A">
              <w:rPr>
                <w:rFonts w:asciiTheme="minorEastAsia" w:eastAsiaTheme="minorEastAsia" w:hAnsiTheme="minorEastAsia" w:hint="eastAsia"/>
                <w:sz w:val="24"/>
                <w:szCs w:val="24"/>
              </w:rPr>
              <w:t>本次</w:t>
            </w:r>
            <w:r w:rsidR="00487346" w:rsidRPr="00487346">
              <w:rPr>
                <w:rFonts w:asciiTheme="minorEastAsia" w:eastAsiaTheme="minorEastAsia" w:hAnsiTheme="minorEastAsia" w:hint="eastAsia"/>
                <w:sz w:val="24"/>
                <w:szCs w:val="24"/>
              </w:rPr>
              <w:t>红利再投资份额的持有起始日与原份额保持一致</w:t>
            </w:r>
            <w:r w:rsidR="00487346">
              <w:rPr>
                <w:rFonts w:asciiTheme="minorEastAsia" w:eastAsiaTheme="minorEastAsia" w:hAnsiTheme="minorEastAsia" w:hint="eastAsia"/>
                <w:sz w:val="24"/>
                <w:szCs w:val="24"/>
              </w:rPr>
              <w:t>。</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税收相关事项的说明</w:t>
            </w:r>
          </w:p>
        </w:tc>
        <w:tc>
          <w:tcPr>
            <w:tcW w:w="6146" w:type="dxa"/>
            <w:shd w:val="clear" w:color="auto" w:fill="auto"/>
          </w:tcPr>
          <w:p w:rsidR="009C7860" w:rsidRPr="00E04A73" w:rsidRDefault="00534D6C">
            <w:pPr>
              <w:spacing w:line="360" w:lineRule="auto"/>
              <w:rPr>
                <w:rFonts w:eastAsiaTheme="minorEastAsia"/>
                <w:sz w:val="24"/>
                <w:szCs w:val="24"/>
              </w:rPr>
            </w:pPr>
            <w:r w:rsidRPr="00534D6C">
              <w:rPr>
                <w:rFonts w:eastAsiaTheme="minorEastAsia" w:hint="eastAsia"/>
                <w:sz w:val="24"/>
                <w:szCs w:val="24"/>
              </w:rPr>
              <w:t>根据相关法律法规规定，基金向投资者分配的基金收益，暂不征收所得税。</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费用相关事项的说明</w:t>
            </w:r>
          </w:p>
        </w:tc>
        <w:tc>
          <w:tcPr>
            <w:tcW w:w="6146" w:type="dxa"/>
            <w:shd w:val="clear" w:color="auto" w:fill="auto"/>
          </w:tcPr>
          <w:p w:rsidR="009C7860" w:rsidRPr="00E04A73" w:rsidRDefault="009F1CC4">
            <w:pPr>
              <w:spacing w:line="360" w:lineRule="auto"/>
              <w:rPr>
                <w:rFonts w:eastAsiaTheme="minorEastAsia"/>
                <w:sz w:val="24"/>
                <w:szCs w:val="24"/>
              </w:rPr>
            </w:pPr>
            <w:r w:rsidRPr="00E04A73">
              <w:rPr>
                <w:rFonts w:eastAsiaTheme="minorEastAsia"/>
                <w:sz w:val="24"/>
                <w:szCs w:val="24"/>
              </w:rPr>
              <w:t>本基金本次分红免收分红手续费。选择红利再投资方式的投资者其红利所转换的基金份额免收申购费用。</w:t>
            </w:r>
          </w:p>
        </w:tc>
      </w:tr>
    </w:tbl>
    <w:p w:rsidR="009C7860" w:rsidRPr="00E04A73" w:rsidRDefault="009F1CC4">
      <w:pPr>
        <w:pStyle w:val="2"/>
        <w:spacing w:line="360" w:lineRule="auto"/>
        <w:rPr>
          <w:rFonts w:ascii="Times New Roman" w:eastAsiaTheme="minorEastAsia" w:hAnsi="Times New Roman"/>
          <w:bCs w:val="0"/>
          <w:color w:val="000000"/>
          <w:sz w:val="24"/>
          <w:szCs w:val="24"/>
        </w:rPr>
      </w:pPr>
      <w:bookmarkStart w:id="3" w:name="_Toc275961420"/>
      <w:r w:rsidRPr="00E04A73">
        <w:rPr>
          <w:rFonts w:ascii="Times New Roman" w:eastAsiaTheme="minorEastAsia" w:hAnsi="Times New Roman"/>
          <w:bCs w:val="0"/>
          <w:color w:val="000000"/>
          <w:sz w:val="24"/>
          <w:szCs w:val="24"/>
        </w:rPr>
        <w:t xml:space="preserve">3 </w:t>
      </w:r>
      <w:r w:rsidRPr="00E04A73">
        <w:rPr>
          <w:rFonts w:ascii="Times New Roman" w:eastAsiaTheme="minorEastAsia" w:hAnsi="Times New Roman"/>
          <w:bCs w:val="0"/>
          <w:color w:val="000000"/>
          <w:sz w:val="24"/>
          <w:szCs w:val="24"/>
        </w:rPr>
        <w:t>其他需要提示的事项</w:t>
      </w:r>
      <w:bookmarkEnd w:id="3"/>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Pr="00E04A73">
        <w:rPr>
          <w:rFonts w:eastAsiaTheme="minorEastAsia"/>
          <w:sz w:val="24"/>
          <w:szCs w:val="24"/>
        </w:rPr>
        <w:t>1</w:t>
      </w:r>
      <w:r w:rsidRPr="00E04A73">
        <w:rPr>
          <w:rFonts w:eastAsiaTheme="minorEastAsia"/>
          <w:sz w:val="24"/>
          <w:szCs w:val="24"/>
        </w:rPr>
        <w:t>）本次收益分配公告已经本基金托管人复核。</w:t>
      </w:r>
    </w:p>
    <w:p w:rsidR="009C7860" w:rsidRPr="00E04A73" w:rsidRDefault="009F1CC4" w:rsidP="00300DA6">
      <w:pPr>
        <w:spacing w:line="360" w:lineRule="auto"/>
        <w:ind w:firstLineChars="200" w:firstLine="480"/>
        <w:rPr>
          <w:rFonts w:eastAsiaTheme="minorEastAsia"/>
          <w:sz w:val="24"/>
          <w:szCs w:val="24"/>
        </w:rPr>
      </w:pPr>
      <w:r w:rsidRPr="00E04A73">
        <w:rPr>
          <w:rFonts w:eastAsiaTheme="minorEastAsia"/>
          <w:sz w:val="24"/>
          <w:szCs w:val="24"/>
        </w:rPr>
        <w:t>（</w:t>
      </w:r>
      <w:r w:rsidRPr="00E04A73">
        <w:rPr>
          <w:rFonts w:eastAsiaTheme="minorEastAsia"/>
          <w:sz w:val="24"/>
          <w:szCs w:val="24"/>
        </w:rPr>
        <w:t>2</w:t>
      </w:r>
      <w:r w:rsidRPr="00E04A73">
        <w:rPr>
          <w:rFonts w:eastAsiaTheme="minorEastAsia"/>
          <w:sz w:val="24"/>
          <w:szCs w:val="24"/>
        </w:rPr>
        <w:t>）因本次分红导致基金净值变化，不会改变本基金的风险收益特征，不会降低基金投资风险或提高基金投资收益。</w:t>
      </w:r>
    </w:p>
    <w:p w:rsidR="009C7860" w:rsidRPr="00E04A73" w:rsidRDefault="009F1CC4" w:rsidP="00B92C92">
      <w:pPr>
        <w:spacing w:line="360" w:lineRule="auto"/>
        <w:ind w:firstLineChars="200" w:firstLine="480"/>
        <w:rPr>
          <w:rFonts w:eastAsiaTheme="minorEastAsia"/>
          <w:sz w:val="24"/>
          <w:szCs w:val="24"/>
        </w:rPr>
      </w:pPr>
      <w:r w:rsidRPr="00E04A73">
        <w:rPr>
          <w:rFonts w:eastAsiaTheme="minorEastAsia"/>
          <w:sz w:val="24"/>
          <w:szCs w:val="24"/>
        </w:rPr>
        <w:t>（</w:t>
      </w:r>
      <w:r w:rsidR="00300DA6">
        <w:rPr>
          <w:rFonts w:eastAsiaTheme="minorEastAsia"/>
          <w:sz w:val="24"/>
          <w:szCs w:val="24"/>
        </w:rPr>
        <w:t>3</w:t>
      </w:r>
      <w:r w:rsidRPr="00E04A73">
        <w:rPr>
          <w:rFonts w:eastAsiaTheme="minorEastAsia"/>
          <w:sz w:val="24"/>
          <w:szCs w:val="24"/>
        </w:rPr>
        <w:t>）本基金收益分配方式分两种：现金分红与红利再投资，投资者可选择现金红利或将现金红利自动转为基金份额进行再投资；若投资者不选择，本基金默认的收益分配方式是现金分红。投资者可以在</w:t>
      </w:r>
      <w:r w:rsidR="006D6CD8">
        <w:rPr>
          <w:rFonts w:eastAsiaTheme="minorEastAsia" w:hint="eastAsia"/>
          <w:sz w:val="24"/>
          <w:szCs w:val="24"/>
        </w:rPr>
        <w:t>工作</w:t>
      </w:r>
      <w:r w:rsidRPr="00E04A73">
        <w:rPr>
          <w:rFonts w:eastAsiaTheme="minorEastAsia"/>
          <w:sz w:val="24"/>
          <w:szCs w:val="24"/>
        </w:rPr>
        <w:t>日的交易时间内到销售网点修改分红方式。</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本次分红确认的方式将按照投资者在权益登记日之前</w:t>
      </w:r>
      <w:r w:rsidR="00534D6C" w:rsidRPr="00534D6C">
        <w:rPr>
          <w:rFonts w:eastAsiaTheme="minorEastAsia" w:hint="eastAsia"/>
          <w:sz w:val="24"/>
          <w:szCs w:val="24"/>
        </w:rPr>
        <w:t>（不含该日）</w:t>
      </w:r>
      <w:r w:rsidRPr="00E04A73">
        <w:rPr>
          <w:rFonts w:eastAsiaTheme="minorEastAsia"/>
          <w:sz w:val="24"/>
          <w:szCs w:val="24"/>
        </w:rPr>
        <w:t>最后一次选择成功的分红方式为准。请投资者到销售网点或通过本公司客户服务中心（</w:t>
      </w:r>
      <w:r w:rsidRPr="00E04A73">
        <w:rPr>
          <w:rFonts w:eastAsiaTheme="minorEastAsia"/>
          <w:sz w:val="24"/>
          <w:szCs w:val="24"/>
        </w:rPr>
        <w:t>400-6135-888</w:t>
      </w:r>
      <w:r w:rsidRPr="00E04A73">
        <w:rPr>
          <w:rFonts w:eastAsiaTheme="minorEastAsia"/>
          <w:sz w:val="24"/>
          <w:szCs w:val="24"/>
        </w:rPr>
        <w:t>）确认分红方式是否正确，如不正确或希望修改分红方式的，请务必在权益登记日之前</w:t>
      </w:r>
      <w:r w:rsidR="00534D6C" w:rsidRPr="00534D6C">
        <w:rPr>
          <w:rFonts w:eastAsiaTheme="minorEastAsia" w:hint="eastAsia"/>
          <w:sz w:val="24"/>
          <w:szCs w:val="24"/>
        </w:rPr>
        <w:t>（不含该日）</w:t>
      </w:r>
      <w:r w:rsidRPr="00E04A73">
        <w:rPr>
          <w:rFonts w:eastAsiaTheme="minorEastAsia"/>
          <w:sz w:val="24"/>
          <w:szCs w:val="24"/>
        </w:rPr>
        <w:t>到销售网点办理变更手续。</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00BE715A">
        <w:rPr>
          <w:rFonts w:eastAsiaTheme="minorEastAsia"/>
          <w:sz w:val="24"/>
          <w:szCs w:val="24"/>
        </w:rPr>
        <w:t>4</w:t>
      </w:r>
      <w:r w:rsidRPr="00E04A73">
        <w:rPr>
          <w:rFonts w:eastAsiaTheme="minorEastAsia"/>
          <w:sz w:val="24"/>
          <w:szCs w:val="24"/>
        </w:rPr>
        <w:t>）欲了解本基金分红详细情况，可到各销售网点或通过本基金管理人客</w:t>
      </w:r>
      <w:r w:rsidRPr="00E04A73">
        <w:rPr>
          <w:rFonts w:eastAsiaTheme="minorEastAsia"/>
          <w:sz w:val="24"/>
          <w:szCs w:val="24"/>
        </w:rPr>
        <w:lastRenderedPageBreak/>
        <w:t>户服务中心查询。</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本基金管理人客户服务电话：</w:t>
      </w:r>
      <w:r w:rsidRPr="00E04A73">
        <w:rPr>
          <w:rFonts w:eastAsiaTheme="minorEastAsia"/>
          <w:sz w:val="24"/>
          <w:szCs w:val="24"/>
        </w:rPr>
        <w:t>400-6135-888</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本基金管理人网站：</w:t>
      </w:r>
      <w:r w:rsidRPr="00E04A73">
        <w:rPr>
          <w:rFonts w:eastAsiaTheme="minorEastAsia"/>
          <w:sz w:val="24"/>
          <w:szCs w:val="24"/>
        </w:rPr>
        <w:t xml:space="preserve">http://www.gefund.com.cn </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00BE715A">
        <w:rPr>
          <w:rFonts w:eastAsiaTheme="minorEastAsia"/>
          <w:sz w:val="24"/>
          <w:szCs w:val="24"/>
        </w:rPr>
        <w:t>5</w:t>
      </w:r>
      <w:r w:rsidRPr="00E04A73">
        <w:rPr>
          <w:rFonts w:eastAsiaTheme="minorEastAsia"/>
          <w:sz w:val="24"/>
          <w:szCs w:val="24"/>
        </w:rPr>
        <w:t>）本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w:t>
      </w:r>
      <w:r w:rsidR="00534D6C" w:rsidRPr="00534D6C">
        <w:rPr>
          <w:rFonts w:eastAsiaTheme="minorEastAsia" w:hint="eastAsia"/>
          <w:sz w:val="24"/>
          <w:szCs w:val="24"/>
        </w:rPr>
        <w:t>《基金合同》、《招募说明书》和《产品资料概要》</w:t>
      </w:r>
      <w:r w:rsidRPr="00E04A73">
        <w:rPr>
          <w:rFonts w:eastAsiaTheme="minorEastAsia"/>
          <w:sz w:val="24"/>
          <w:szCs w:val="24"/>
        </w:rPr>
        <w:t>等基金法律文件，全面认识基金产品的风险收益特征，在了解产品情况及听取销售机构适当性意见的基础上，根据自身的风险承受能力、投资期限和投资目标，对基金投资作出独立决策，选择合适的基金产品。基金投资有风险，决策须谨慎，敬请投资者注意投资风险。</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特此公告。</w:t>
      </w:r>
    </w:p>
    <w:p w:rsidR="009C7860" w:rsidRPr="00E04A73" w:rsidRDefault="009C7860">
      <w:pPr>
        <w:spacing w:line="360" w:lineRule="auto"/>
        <w:ind w:firstLineChars="200" w:firstLine="480"/>
        <w:jc w:val="right"/>
        <w:rPr>
          <w:rFonts w:eastAsiaTheme="minorEastAsia"/>
          <w:sz w:val="24"/>
          <w:szCs w:val="24"/>
        </w:rPr>
      </w:pPr>
    </w:p>
    <w:p w:rsidR="009C7860" w:rsidRPr="00E04A73" w:rsidRDefault="009F1CC4">
      <w:pPr>
        <w:spacing w:line="360" w:lineRule="auto"/>
        <w:ind w:firstLineChars="200" w:firstLine="480"/>
        <w:jc w:val="right"/>
        <w:rPr>
          <w:rFonts w:eastAsiaTheme="minorEastAsia"/>
          <w:sz w:val="24"/>
          <w:szCs w:val="24"/>
        </w:rPr>
      </w:pPr>
      <w:r w:rsidRPr="00E04A73">
        <w:rPr>
          <w:rFonts w:eastAsiaTheme="minorEastAsia"/>
          <w:sz w:val="24"/>
          <w:szCs w:val="24"/>
        </w:rPr>
        <w:t>金鹰基金管理有限公司</w:t>
      </w:r>
    </w:p>
    <w:p w:rsidR="009C7860" w:rsidRPr="00E04A73" w:rsidRDefault="009633F5">
      <w:pPr>
        <w:spacing w:line="360" w:lineRule="auto"/>
        <w:ind w:firstLineChars="200" w:firstLine="480"/>
        <w:jc w:val="right"/>
        <w:rPr>
          <w:rFonts w:eastAsiaTheme="minorEastAsia"/>
          <w:sz w:val="24"/>
          <w:szCs w:val="24"/>
        </w:rPr>
      </w:pPr>
      <w:r w:rsidRPr="00E04A73">
        <w:rPr>
          <w:rFonts w:eastAsiaTheme="minorEastAsia"/>
          <w:sz w:val="24"/>
          <w:szCs w:val="24"/>
        </w:rPr>
        <w:t>202</w:t>
      </w:r>
      <w:r>
        <w:rPr>
          <w:rFonts w:eastAsiaTheme="minorEastAsia"/>
          <w:sz w:val="24"/>
          <w:szCs w:val="24"/>
        </w:rPr>
        <w:t>5</w:t>
      </w:r>
      <w:r w:rsidR="001408A7" w:rsidRPr="00E04A73">
        <w:rPr>
          <w:rFonts w:eastAsiaTheme="minorEastAsia"/>
          <w:sz w:val="24"/>
          <w:szCs w:val="24"/>
        </w:rPr>
        <w:t>年</w:t>
      </w:r>
      <w:r w:rsidR="001408A7">
        <w:rPr>
          <w:rFonts w:eastAsiaTheme="minorEastAsia"/>
          <w:sz w:val="24"/>
          <w:szCs w:val="24"/>
        </w:rPr>
        <w:t>12</w:t>
      </w:r>
      <w:r w:rsidR="001408A7" w:rsidRPr="00E04A73">
        <w:rPr>
          <w:rFonts w:eastAsiaTheme="minorEastAsia"/>
          <w:sz w:val="24"/>
          <w:szCs w:val="24"/>
        </w:rPr>
        <w:t>月</w:t>
      </w:r>
      <w:r w:rsidR="001408A7">
        <w:rPr>
          <w:rFonts w:eastAsiaTheme="minorEastAsia"/>
          <w:sz w:val="24"/>
          <w:szCs w:val="24"/>
        </w:rPr>
        <w:t>24</w:t>
      </w:r>
      <w:r w:rsidR="009F1CC4" w:rsidRPr="00E04A73">
        <w:rPr>
          <w:rFonts w:eastAsiaTheme="minorEastAsia"/>
          <w:sz w:val="24"/>
          <w:szCs w:val="24"/>
        </w:rPr>
        <w:t>日</w:t>
      </w:r>
    </w:p>
    <w:sectPr w:rsidR="009C7860" w:rsidRPr="00E04A73" w:rsidSect="007169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6C" w:rsidRDefault="00486B6C" w:rsidP="00534D6C">
      <w:r>
        <w:separator/>
      </w:r>
    </w:p>
  </w:endnote>
  <w:endnote w:type="continuationSeparator" w:id="0">
    <w:p w:rsidR="00486B6C" w:rsidRDefault="00486B6C" w:rsidP="00534D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6C" w:rsidRDefault="00486B6C" w:rsidP="00534D6C">
      <w:r>
        <w:separator/>
      </w:r>
    </w:p>
  </w:footnote>
  <w:footnote w:type="continuationSeparator" w:id="0">
    <w:p w:rsidR="00486B6C" w:rsidRDefault="00486B6C" w:rsidP="00534D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04863"/>
    <w:rsid w:val="00011E98"/>
    <w:rsid w:val="00021754"/>
    <w:rsid w:val="00033B04"/>
    <w:rsid w:val="00034373"/>
    <w:rsid w:val="00035240"/>
    <w:rsid w:val="00041353"/>
    <w:rsid w:val="00044391"/>
    <w:rsid w:val="00056146"/>
    <w:rsid w:val="00056491"/>
    <w:rsid w:val="000566B2"/>
    <w:rsid w:val="00057AC1"/>
    <w:rsid w:val="00062890"/>
    <w:rsid w:val="000656C9"/>
    <w:rsid w:val="00083B7C"/>
    <w:rsid w:val="00085F5C"/>
    <w:rsid w:val="000953F0"/>
    <w:rsid w:val="000964BE"/>
    <w:rsid w:val="00096E53"/>
    <w:rsid w:val="000974CE"/>
    <w:rsid w:val="0009778C"/>
    <w:rsid w:val="000A19B2"/>
    <w:rsid w:val="000B7CF4"/>
    <w:rsid w:val="000C39F6"/>
    <w:rsid w:val="000C4D9B"/>
    <w:rsid w:val="000E0C23"/>
    <w:rsid w:val="000E168A"/>
    <w:rsid w:val="000E7EFE"/>
    <w:rsid w:val="000F133D"/>
    <w:rsid w:val="000F1656"/>
    <w:rsid w:val="00106DFD"/>
    <w:rsid w:val="00111BD0"/>
    <w:rsid w:val="00135CA1"/>
    <w:rsid w:val="001408A7"/>
    <w:rsid w:val="00141BB1"/>
    <w:rsid w:val="001473CE"/>
    <w:rsid w:val="00152A3F"/>
    <w:rsid w:val="001548D3"/>
    <w:rsid w:val="00154BEF"/>
    <w:rsid w:val="00157523"/>
    <w:rsid w:val="001A541D"/>
    <w:rsid w:val="001B13FC"/>
    <w:rsid w:val="001B5DBF"/>
    <w:rsid w:val="001C08C9"/>
    <w:rsid w:val="001D33BD"/>
    <w:rsid w:val="001E1256"/>
    <w:rsid w:val="001E5BC4"/>
    <w:rsid w:val="001E6E23"/>
    <w:rsid w:val="001F582C"/>
    <w:rsid w:val="00200011"/>
    <w:rsid w:val="00203B9A"/>
    <w:rsid w:val="00217DE2"/>
    <w:rsid w:val="00226206"/>
    <w:rsid w:val="00242E4D"/>
    <w:rsid w:val="00243811"/>
    <w:rsid w:val="00245A05"/>
    <w:rsid w:val="002641B7"/>
    <w:rsid w:val="00265D92"/>
    <w:rsid w:val="00271EF3"/>
    <w:rsid w:val="0027282A"/>
    <w:rsid w:val="00274003"/>
    <w:rsid w:val="002744A0"/>
    <w:rsid w:val="00275658"/>
    <w:rsid w:val="00281159"/>
    <w:rsid w:val="002825C8"/>
    <w:rsid w:val="00284B1B"/>
    <w:rsid w:val="00294505"/>
    <w:rsid w:val="00296D49"/>
    <w:rsid w:val="002A0101"/>
    <w:rsid w:val="002A63B7"/>
    <w:rsid w:val="002B62E3"/>
    <w:rsid w:val="002C08C5"/>
    <w:rsid w:val="002C5581"/>
    <w:rsid w:val="002C6728"/>
    <w:rsid w:val="002D1C67"/>
    <w:rsid w:val="002D791F"/>
    <w:rsid w:val="002E0907"/>
    <w:rsid w:val="00300DA6"/>
    <w:rsid w:val="00303503"/>
    <w:rsid w:val="00307C89"/>
    <w:rsid w:val="003109B0"/>
    <w:rsid w:val="003160F8"/>
    <w:rsid w:val="003254F4"/>
    <w:rsid w:val="00333C45"/>
    <w:rsid w:val="00342892"/>
    <w:rsid w:val="00345BA5"/>
    <w:rsid w:val="003609A7"/>
    <w:rsid w:val="00362297"/>
    <w:rsid w:val="003649C7"/>
    <w:rsid w:val="003822CA"/>
    <w:rsid w:val="00386931"/>
    <w:rsid w:val="0038796A"/>
    <w:rsid w:val="0039192C"/>
    <w:rsid w:val="003A32EE"/>
    <w:rsid w:val="003B04EB"/>
    <w:rsid w:val="003B1B79"/>
    <w:rsid w:val="003B309E"/>
    <w:rsid w:val="003B3EFD"/>
    <w:rsid w:val="003C3349"/>
    <w:rsid w:val="003C343A"/>
    <w:rsid w:val="003C57D9"/>
    <w:rsid w:val="003C6F1F"/>
    <w:rsid w:val="003D0B8A"/>
    <w:rsid w:val="003E3C25"/>
    <w:rsid w:val="003E51F2"/>
    <w:rsid w:val="003F38E2"/>
    <w:rsid w:val="004021FA"/>
    <w:rsid w:val="00406E9E"/>
    <w:rsid w:val="00410642"/>
    <w:rsid w:val="00411A38"/>
    <w:rsid w:val="00416E54"/>
    <w:rsid w:val="0042756E"/>
    <w:rsid w:val="00430E43"/>
    <w:rsid w:val="00432E76"/>
    <w:rsid w:val="0043694F"/>
    <w:rsid w:val="00444CDD"/>
    <w:rsid w:val="00453899"/>
    <w:rsid w:val="00462525"/>
    <w:rsid w:val="00463FA4"/>
    <w:rsid w:val="00464FC9"/>
    <w:rsid w:val="004803A5"/>
    <w:rsid w:val="00483B69"/>
    <w:rsid w:val="00486934"/>
    <w:rsid w:val="00486B6C"/>
    <w:rsid w:val="00487346"/>
    <w:rsid w:val="00494F16"/>
    <w:rsid w:val="004966BA"/>
    <w:rsid w:val="0049782F"/>
    <w:rsid w:val="004A2DB9"/>
    <w:rsid w:val="004B5680"/>
    <w:rsid w:val="004C2779"/>
    <w:rsid w:val="004D22F7"/>
    <w:rsid w:val="004D385C"/>
    <w:rsid w:val="004D6569"/>
    <w:rsid w:val="004E1734"/>
    <w:rsid w:val="004E4A6E"/>
    <w:rsid w:val="004E61E8"/>
    <w:rsid w:val="004F56B7"/>
    <w:rsid w:val="004F71CD"/>
    <w:rsid w:val="00505156"/>
    <w:rsid w:val="00505DEE"/>
    <w:rsid w:val="00506E3A"/>
    <w:rsid w:val="00512AC6"/>
    <w:rsid w:val="00534D6C"/>
    <w:rsid w:val="00540167"/>
    <w:rsid w:val="005439EC"/>
    <w:rsid w:val="005521AA"/>
    <w:rsid w:val="005704AE"/>
    <w:rsid w:val="005715B6"/>
    <w:rsid w:val="00573576"/>
    <w:rsid w:val="0057618D"/>
    <w:rsid w:val="00577AEC"/>
    <w:rsid w:val="005A46BC"/>
    <w:rsid w:val="005B03D3"/>
    <w:rsid w:val="005B087C"/>
    <w:rsid w:val="005B10B2"/>
    <w:rsid w:val="005C1032"/>
    <w:rsid w:val="005C57A1"/>
    <w:rsid w:val="005E2DD7"/>
    <w:rsid w:val="005E2FD7"/>
    <w:rsid w:val="005E3B3C"/>
    <w:rsid w:val="005F5032"/>
    <w:rsid w:val="00602C3F"/>
    <w:rsid w:val="00607A0F"/>
    <w:rsid w:val="00610BA7"/>
    <w:rsid w:val="00611174"/>
    <w:rsid w:val="006136DF"/>
    <w:rsid w:val="00613718"/>
    <w:rsid w:val="00614C16"/>
    <w:rsid w:val="00615A45"/>
    <w:rsid w:val="006242A0"/>
    <w:rsid w:val="00641A63"/>
    <w:rsid w:val="0065212A"/>
    <w:rsid w:val="00667835"/>
    <w:rsid w:val="0067216A"/>
    <w:rsid w:val="00676349"/>
    <w:rsid w:val="006808AC"/>
    <w:rsid w:val="006808BD"/>
    <w:rsid w:val="00690857"/>
    <w:rsid w:val="00695794"/>
    <w:rsid w:val="006A2405"/>
    <w:rsid w:val="006A2E06"/>
    <w:rsid w:val="006B1F89"/>
    <w:rsid w:val="006D1287"/>
    <w:rsid w:val="006D6CD8"/>
    <w:rsid w:val="006E41A5"/>
    <w:rsid w:val="006F499D"/>
    <w:rsid w:val="00705FE6"/>
    <w:rsid w:val="007169A0"/>
    <w:rsid w:val="00717116"/>
    <w:rsid w:val="00721B55"/>
    <w:rsid w:val="00723F4B"/>
    <w:rsid w:val="00732C07"/>
    <w:rsid w:val="00742CFE"/>
    <w:rsid w:val="00742DA2"/>
    <w:rsid w:val="00751BA5"/>
    <w:rsid w:val="00751CB3"/>
    <w:rsid w:val="007533C6"/>
    <w:rsid w:val="00754724"/>
    <w:rsid w:val="007568CD"/>
    <w:rsid w:val="0078332E"/>
    <w:rsid w:val="0078466F"/>
    <w:rsid w:val="00785AA9"/>
    <w:rsid w:val="00794781"/>
    <w:rsid w:val="007A6A0F"/>
    <w:rsid w:val="007C142C"/>
    <w:rsid w:val="007D01E7"/>
    <w:rsid w:val="007F6075"/>
    <w:rsid w:val="00803E8F"/>
    <w:rsid w:val="008040EF"/>
    <w:rsid w:val="008055B2"/>
    <w:rsid w:val="00805E12"/>
    <w:rsid w:val="008071E9"/>
    <w:rsid w:val="00834BAE"/>
    <w:rsid w:val="00837FB0"/>
    <w:rsid w:val="00842893"/>
    <w:rsid w:val="00847992"/>
    <w:rsid w:val="00864873"/>
    <w:rsid w:val="008670C8"/>
    <w:rsid w:val="00886146"/>
    <w:rsid w:val="0088761F"/>
    <w:rsid w:val="00893436"/>
    <w:rsid w:val="0089712C"/>
    <w:rsid w:val="008B3014"/>
    <w:rsid w:val="008C0D1C"/>
    <w:rsid w:val="008C6AAE"/>
    <w:rsid w:val="008D0A89"/>
    <w:rsid w:val="008D1F66"/>
    <w:rsid w:val="008E61F4"/>
    <w:rsid w:val="008F7FD2"/>
    <w:rsid w:val="009001E6"/>
    <w:rsid w:val="00901C58"/>
    <w:rsid w:val="00910A79"/>
    <w:rsid w:val="009117E2"/>
    <w:rsid w:val="009207B0"/>
    <w:rsid w:val="00933EED"/>
    <w:rsid w:val="00935529"/>
    <w:rsid w:val="009459C8"/>
    <w:rsid w:val="00953F15"/>
    <w:rsid w:val="009633F5"/>
    <w:rsid w:val="009637D3"/>
    <w:rsid w:val="009673D4"/>
    <w:rsid w:val="009732A4"/>
    <w:rsid w:val="00981D98"/>
    <w:rsid w:val="009852B6"/>
    <w:rsid w:val="00990185"/>
    <w:rsid w:val="009A686F"/>
    <w:rsid w:val="009B1495"/>
    <w:rsid w:val="009B29E2"/>
    <w:rsid w:val="009C7860"/>
    <w:rsid w:val="009E3040"/>
    <w:rsid w:val="009E5FF3"/>
    <w:rsid w:val="009F1CC4"/>
    <w:rsid w:val="009F30CD"/>
    <w:rsid w:val="009F77EB"/>
    <w:rsid w:val="00A10C63"/>
    <w:rsid w:val="00A133A8"/>
    <w:rsid w:val="00A2239A"/>
    <w:rsid w:val="00A23C40"/>
    <w:rsid w:val="00A43028"/>
    <w:rsid w:val="00A5091E"/>
    <w:rsid w:val="00A71283"/>
    <w:rsid w:val="00A77052"/>
    <w:rsid w:val="00A81AA5"/>
    <w:rsid w:val="00A81C93"/>
    <w:rsid w:val="00A85B8A"/>
    <w:rsid w:val="00A948F3"/>
    <w:rsid w:val="00AB5E02"/>
    <w:rsid w:val="00AB78C3"/>
    <w:rsid w:val="00AC3CC5"/>
    <w:rsid w:val="00AC567B"/>
    <w:rsid w:val="00AD4E85"/>
    <w:rsid w:val="00B10066"/>
    <w:rsid w:val="00B11B35"/>
    <w:rsid w:val="00B14B51"/>
    <w:rsid w:val="00B16617"/>
    <w:rsid w:val="00B21132"/>
    <w:rsid w:val="00B313B2"/>
    <w:rsid w:val="00B349A2"/>
    <w:rsid w:val="00B44B53"/>
    <w:rsid w:val="00B44BBE"/>
    <w:rsid w:val="00B5208F"/>
    <w:rsid w:val="00B56663"/>
    <w:rsid w:val="00B56C25"/>
    <w:rsid w:val="00B620D6"/>
    <w:rsid w:val="00B62F86"/>
    <w:rsid w:val="00B65408"/>
    <w:rsid w:val="00B67819"/>
    <w:rsid w:val="00B711B1"/>
    <w:rsid w:val="00B71DA2"/>
    <w:rsid w:val="00B74C7A"/>
    <w:rsid w:val="00B87356"/>
    <w:rsid w:val="00B87B4A"/>
    <w:rsid w:val="00B92C92"/>
    <w:rsid w:val="00BA7F58"/>
    <w:rsid w:val="00BB0FE4"/>
    <w:rsid w:val="00BC199E"/>
    <w:rsid w:val="00BD1ADD"/>
    <w:rsid w:val="00BD285C"/>
    <w:rsid w:val="00BD7533"/>
    <w:rsid w:val="00BE5344"/>
    <w:rsid w:val="00BE715A"/>
    <w:rsid w:val="00BF5698"/>
    <w:rsid w:val="00BF7029"/>
    <w:rsid w:val="00C021D4"/>
    <w:rsid w:val="00C05D7C"/>
    <w:rsid w:val="00C30DE2"/>
    <w:rsid w:val="00C31B5B"/>
    <w:rsid w:val="00C33DDD"/>
    <w:rsid w:val="00C3525B"/>
    <w:rsid w:val="00C4255B"/>
    <w:rsid w:val="00C43FF9"/>
    <w:rsid w:val="00C91129"/>
    <w:rsid w:val="00C91E3F"/>
    <w:rsid w:val="00CA0D50"/>
    <w:rsid w:val="00CB3D18"/>
    <w:rsid w:val="00CC001C"/>
    <w:rsid w:val="00D04846"/>
    <w:rsid w:val="00D16C30"/>
    <w:rsid w:val="00D37FF2"/>
    <w:rsid w:val="00D451A3"/>
    <w:rsid w:val="00D508B9"/>
    <w:rsid w:val="00D61762"/>
    <w:rsid w:val="00D62C7A"/>
    <w:rsid w:val="00D65695"/>
    <w:rsid w:val="00D66E01"/>
    <w:rsid w:val="00D70D26"/>
    <w:rsid w:val="00D75382"/>
    <w:rsid w:val="00D760F8"/>
    <w:rsid w:val="00D93343"/>
    <w:rsid w:val="00DA6155"/>
    <w:rsid w:val="00DB7CD4"/>
    <w:rsid w:val="00DC6FFF"/>
    <w:rsid w:val="00DD2B69"/>
    <w:rsid w:val="00DE21AB"/>
    <w:rsid w:val="00DE2DAB"/>
    <w:rsid w:val="00DE53CD"/>
    <w:rsid w:val="00DF5311"/>
    <w:rsid w:val="00DF5624"/>
    <w:rsid w:val="00DF731F"/>
    <w:rsid w:val="00E02E86"/>
    <w:rsid w:val="00E04A73"/>
    <w:rsid w:val="00E16B6D"/>
    <w:rsid w:val="00E24390"/>
    <w:rsid w:val="00E30F9E"/>
    <w:rsid w:val="00E35DB0"/>
    <w:rsid w:val="00E379B4"/>
    <w:rsid w:val="00E72EE0"/>
    <w:rsid w:val="00E82C9E"/>
    <w:rsid w:val="00E96D29"/>
    <w:rsid w:val="00EA12C9"/>
    <w:rsid w:val="00EA3345"/>
    <w:rsid w:val="00EA5EA0"/>
    <w:rsid w:val="00EA717C"/>
    <w:rsid w:val="00EB692D"/>
    <w:rsid w:val="00ED5D60"/>
    <w:rsid w:val="00EF420A"/>
    <w:rsid w:val="00F0033B"/>
    <w:rsid w:val="00F04179"/>
    <w:rsid w:val="00F141C7"/>
    <w:rsid w:val="00F2315B"/>
    <w:rsid w:val="00F23523"/>
    <w:rsid w:val="00F26DF9"/>
    <w:rsid w:val="00F338CF"/>
    <w:rsid w:val="00F35124"/>
    <w:rsid w:val="00F42CA6"/>
    <w:rsid w:val="00F45E48"/>
    <w:rsid w:val="00F53EB7"/>
    <w:rsid w:val="00F5445F"/>
    <w:rsid w:val="00F55A35"/>
    <w:rsid w:val="00F645EE"/>
    <w:rsid w:val="00F65221"/>
    <w:rsid w:val="00F72BB8"/>
    <w:rsid w:val="00F7323F"/>
    <w:rsid w:val="00F91516"/>
    <w:rsid w:val="00FA078E"/>
    <w:rsid w:val="00FA300D"/>
    <w:rsid w:val="00FA43A4"/>
    <w:rsid w:val="00FC2172"/>
    <w:rsid w:val="00FC7937"/>
    <w:rsid w:val="00FE45F2"/>
    <w:rsid w:val="01024317"/>
    <w:rsid w:val="113C3698"/>
    <w:rsid w:val="19245B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9A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7169A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7169A0"/>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169A0"/>
    <w:rPr>
      <w:b/>
      <w:bCs/>
    </w:rPr>
  </w:style>
  <w:style w:type="paragraph" w:styleId="a4">
    <w:name w:val="annotation text"/>
    <w:basedOn w:val="a"/>
    <w:link w:val="Char0"/>
    <w:uiPriority w:val="99"/>
    <w:unhideWhenUsed/>
    <w:qFormat/>
    <w:rsid w:val="007169A0"/>
    <w:pPr>
      <w:jc w:val="left"/>
    </w:pPr>
  </w:style>
  <w:style w:type="paragraph" w:styleId="a5">
    <w:name w:val="Document Map"/>
    <w:basedOn w:val="a"/>
    <w:link w:val="Char1"/>
    <w:uiPriority w:val="99"/>
    <w:unhideWhenUsed/>
    <w:qFormat/>
    <w:rsid w:val="007169A0"/>
    <w:rPr>
      <w:rFonts w:ascii="宋体" w:eastAsia="宋体"/>
      <w:sz w:val="18"/>
      <w:szCs w:val="18"/>
    </w:rPr>
  </w:style>
  <w:style w:type="paragraph" w:styleId="a6">
    <w:name w:val="Balloon Text"/>
    <w:basedOn w:val="a"/>
    <w:link w:val="Char2"/>
    <w:uiPriority w:val="99"/>
    <w:unhideWhenUsed/>
    <w:qFormat/>
    <w:rsid w:val="007169A0"/>
    <w:rPr>
      <w:sz w:val="18"/>
      <w:szCs w:val="18"/>
    </w:rPr>
  </w:style>
  <w:style w:type="paragraph" w:styleId="a7">
    <w:name w:val="footer"/>
    <w:basedOn w:val="a"/>
    <w:link w:val="Char3"/>
    <w:uiPriority w:val="99"/>
    <w:unhideWhenUsed/>
    <w:qFormat/>
    <w:rsid w:val="007169A0"/>
    <w:pPr>
      <w:tabs>
        <w:tab w:val="center" w:pos="4153"/>
        <w:tab w:val="right" w:pos="8306"/>
      </w:tabs>
      <w:snapToGrid w:val="0"/>
      <w:jc w:val="left"/>
    </w:pPr>
    <w:rPr>
      <w:sz w:val="18"/>
      <w:szCs w:val="18"/>
    </w:rPr>
  </w:style>
  <w:style w:type="paragraph" w:styleId="a8">
    <w:name w:val="header"/>
    <w:basedOn w:val="a"/>
    <w:link w:val="Char4"/>
    <w:uiPriority w:val="99"/>
    <w:unhideWhenUsed/>
    <w:rsid w:val="007169A0"/>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qFormat/>
    <w:rsid w:val="007169A0"/>
    <w:pPr>
      <w:snapToGrid w:val="0"/>
      <w:jc w:val="left"/>
    </w:pPr>
    <w:rPr>
      <w:rFonts w:eastAsia="宋体"/>
      <w:sz w:val="18"/>
    </w:rPr>
  </w:style>
  <w:style w:type="character" w:styleId="aa">
    <w:name w:val="annotation reference"/>
    <w:basedOn w:val="a0"/>
    <w:uiPriority w:val="99"/>
    <w:unhideWhenUsed/>
    <w:qFormat/>
    <w:rsid w:val="007169A0"/>
    <w:rPr>
      <w:sz w:val="21"/>
      <w:szCs w:val="21"/>
    </w:rPr>
  </w:style>
  <w:style w:type="character" w:styleId="ab">
    <w:name w:val="footnote reference"/>
    <w:basedOn w:val="a0"/>
    <w:qFormat/>
    <w:rsid w:val="007169A0"/>
    <w:rPr>
      <w:vertAlign w:val="superscript"/>
    </w:rPr>
  </w:style>
  <w:style w:type="character" w:customStyle="1" w:styleId="1Char">
    <w:name w:val="标题 1 Char"/>
    <w:basedOn w:val="a0"/>
    <w:link w:val="1"/>
    <w:qFormat/>
    <w:rsid w:val="007169A0"/>
    <w:rPr>
      <w:rFonts w:ascii="Times New Roman" w:eastAsia="宋体" w:hAnsi="Times New Roman" w:cs="Times New Roman"/>
      <w:b/>
      <w:bCs/>
      <w:kern w:val="44"/>
      <w:sz w:val="44"/>
      <w:szCs w:val="44"/>
    </w:rPr>
  </w:style>
  <w:style w:type="character" w:customStyle="1" w:styleId="2Char">
    <w:name w:val="标题 2 Char"/>
    <w:basedOn w:val="a0"/>
    <w:link w:val="2"/>
    <w:qFormat/>
    <w:rsid w:val="007169A0"/>
    <w:rPr>
      <w:rFonts w:ascii="Arial" w:eastAsia="黑体" w:hAnsi="Arial" w:cs="Times New Roman"/>
      <w:b/>
      <w:bCs/>
      <w:sz w:val="32"/>
      <w:szCs w:val="32"/>
    </w:rPr>
  </w:style>
  <w:style w:type="character" w:customStyle="1" w:styleId="Char5">
    <w:name w:val="脚注文本 Char"/>
    <w:basedOn w:val="a0"/>
    <w:link w:val="a9"/>
    <w:qFormat/>
    <w:rsid w:val="007169A0"/>
    <w:rPr>
      <w:rFonts w:ascii="Times New Roman" w:eastAsia="宋体" w:hAnsi="Times New Roman" w:cs="Times New Roman"/>
      <w:sz w:val="18"/>
      <w:szCs w:val="20"/>
    </w:rPr>
  </w:style>
  <w:style w:type="character" w:customStyle="1" w:styleId="Char1">
    <w:name w:val="文档结构图 Char"/>
    <w:basedOn w:val="a0"/>
    <w:link w:val="a5"/>
    <w:uiPriority w:val="99"/>
    <w:semiHidden/>
    <w:rsid w:val="007169A0"/>
    <w:rPr>
      <w:rFonts w:ascii="宋体" w:eastAsia="宋体" w:hAnsi="Times New Roman" w:cs="Times New Roman"/>
      <w:sz w:val="18"/>
      <w:szCs w:val="18"/>
    </w:rPr>
  </w:style>
  <w:style w:type="character" w:customStyle="1" w:styleId="Char4">
    <w:name w:val="页眉 Char"/>
    <w:basedOn w:val="a0"/>
    <w:link w:val="a8"/>
    <w:uiPriority w:val="99"/>
    <w:rsid w:val="007169A0"/>
    <w:rPr>
      <w:rFonts w:ascii="Times New Roman" w:eastAsia="方正仿宋简体" w:hAnsi="Times New Roman" w:cs="Times New Roman"/>
      <w:sz w:val="18"/>
      <w:szCs w:val="18"/>
    </w:rPr>
  </w:style>
  <w:style w:type="character" w:customStyle="1" w:styleId="Char3">
    <w:name w:val="页脚 Char"/>
    <w:basedOn w:val="a0"/>
    <w:link w:val="a7"/>
    <w:uiPriority w:val="99"/>
    <w:rsid w:val="007169A0"/>
    <w:rPr>
      <w:rFonts w:ascii="Times New Roman" w:eastAsia="方正仿宋简体" w:hAnsi="Times New Roman" w:cs="Times New Roman"/>
      <w:sz w:val="18"/>
      <w:szCs w:val="18"/>
    </w:rPr>
  </w:style>
  <w:style w:type="character" w:customStyle="1" w:styleId="Char2">
    <w:name w:val="批注框文本 Char"/>
    <w:basedOn w:val="a0"/>
    <w:link w:val="a6"/>
    <w:uiPriority w:val="99"/>
    <w:semiHidden/>
    <w:rsid w:val="007169A0"/>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rsid w:val="007169A0"/>
    <w:rPr>
      <w:rFonts w:ascii="Times New Roman" w:eastAsia="方正仿宋简体" w:hAnsi="Times New Roman" w:cs="Times New Roman"/>
      <w:sz w:val="32"/>
      <w:szCs w:val="20"/>
    </w:rPr>
  </w:style>
  <w:style w:type="character" w:customStyle="1" w:styleId="Char">
    <w:name w:val="批注主题 Char"/>
    <w:basedOn w:val="Char0"/>
    <w:link w:val="a3"/>
    <w:uiPriority w:val="99"/>
    <w:semiHidden/>
    <w:qFormat/>
    <w:rsid w:val="007169A0"/>
    <w:rPr>
      <w:rFonts w:ascii="Times New Roman" w:eastAsia="方正仿宋简体" w:hAnsi="Times New Roman" w:cs="Times New Roman"/>
      <w:b/>
      <w:bCs/>
      <w:sz w:val="32"/>
      <w:szCs w:val="20"/>
    </w:rPr>
  </w:style>
  <w:style w:type="character" w:customStyle="1" w:styleId="apple-converted-space">
    <w:name w:val="apple-converted-space"/>
    <w:basedOn w:val="a0"/>
    <w:qFormat/>
    <w:rsid w:val="007169A0"/>
  </w:style>
</w:styles>
</file>

<file path=word/webSettings.xml><?xml version="1.0" encoding="utf-8"?>
<w:webSettings xmlns:r="http://schemas.openxmlformats.org/officeDocument/2006/relationships" xmlns:w="http://schemas.openxmlformats.org/wordprocessingml/2006/main">
  <w:divs>
    <w:div w:id="507910415">
      <w:bodyDiv w:val="1"/>
      <w:marLeft w:val="0"/>
      <w:marRight w:val="0"/>
      <w:marTop w:val="0"/>
      <w:marBottom w:val="0"/>
      <w:divBdr>
        <w:top w:val="none" w:sz="0" w:space="0" w:color="auto"/>
        <w:left w:val="none" w:sz="0" w:space="0" w:color="auto"/>
        <w:bottom w:val="none" w:sz="0" w:space="0" w:color="auto"/>
        <w:right w:val="none" w:sz="0" w:space="0" w:color="auto"/>
      </w:divBdr>
    </w:div>
    <w:div w:id="673262091">
      <w:bodyDiv w:val="1"/>
      <w:marLeft w:val="0"/>
      <w:marRight w:val="0"/>
      <w:marTop w:val="0"/>
      <w:marBottom w:val="0"/>
      <w:divBdr>
        <w:top w:val="none" w:sz="0" w:space="0" w:color="auto"/>
        <w:left w:val="none" w:sz="0" w:space="0" w:color="auto"/>
        <w:bottom w:val="none" w:sz="0" w:space="0" w:color="auto"/>
        <w:right w:val="none" w:sz="0" w:space="0" w:color="auto"/>
      </w:divBdr>
    </w:div>
    <w:div w:id="776871925">
      <w:bodyDiv w:val="1"/>
      <w:marLeft w:val="0"/>
      <w:marRight w:val="0"/>
      <w:marTop w:val="0"/>
      <w:marBottom w:val="0"/>
      <w:divBdr>
        <w:top w:val="none" w:sz="0" w:space="0" w:color="auto"/>
        <w:left w:val="none" w:sz="0" w:space="0" w:color="auto"/>
        <w:bottom w:val="none" w:sz="0" w:space="0" w:color="auto"/>
        <w:right w:val="none" w:sz="0" w:space="0" w:color="auto"/>
      </w:divBdr>
    </w:div>
    <w:div w:id="805589637">
      <w:bodyDiv w:val="1"/>
      <w:marLeft w:val="0"/>
      <w:marRight w:val="0"/>
      <w:marTop w:val="0"/>
      <w:marBottom w:val="0"/>
      <w:divBdr>
        <w:top w:val="none" w:sz="0" w:space="0" w:color="auto"/>
        <w:left w:val="none" w:sz="0" w:space="0" w:color="auto"/>
        <w:bottom w:val="none" w:sz="0" w:space="0" w:color="auto"/>
        <w:right w:val="none" w:sz="0" w:space="0" w:color="auto"/>
      </w:divBdr>
    </w:div>
    <w:div w:id="1096948225">
      <w:bodyDiv w:val="1"/>
      <w:marLeft w:val="0"/>
      <w:marRight w:val="0"/>
      <w:marTop w:val="0"/>
      <w:marBottom w:val="0"/>
      <w:divBdr>
        <w:top w:val="none" w:sz="0" w:space="0" w:color="auto"/>
        <w:left w:val="none" w:sz="0" w:space="0" w:color="auto"/>
        <w:bottom w:val="none" w:sz="0" w:space="0" w:color="auto"/>
        <w:right w:val="none" w:sz="0" w:space="0" w:color="auto"/>
      </w:divBdr>
    </w:div>
    <w:div w:id="1312053622">
      <w:bodyDiv w:val="1"/>
      <w:marLeft w:val="0"/>
      <w:marRight w:val="0"/>
      <w:marTop w:val="0"/>
      <w:marBottom w:val="0"/>
      <w:divBdr>
        <w:top w:val="none" w:sz="0" w:space="0" w:color="auto"/>
        <w:left w:val="none" w:sz="0" w:space="0" w:color="auto"/>
        <w:bottom w:val="none" w:sz="0" w:space="0" w:color="auto"/>
        <w:right w:val="none" w:sz="0" w:space="0" w:color="auto"/>
      </w:divBdr>
    </w:div>
    <w:div w:id="1445887303">
      <w:bodyDiv w:val="1"/>
      <w:marLeft w:val="0"/>
      <w:marRight w:val="0"/>
      <w:marTop w:val="0"/>
      <w:marBottom w:val="0"/>
      <w:divBdr>
        <w:top w:val="none" w:sz="0" w:space="0" w:color="auto"/>
        <w:left w:val="none" w:sz="0" w:space="0" w:color="auto"/>
        <w:bottom w:val="none" w:sz="0" w:space="0" w:color="auto"/>
        <w:right w:val="none" w:sz="0" w:space="0" w:color="auto"/>
      </w:divBdr>
    </w:div>
    <w:div w:id="2032684507">
      <w:bodyDiv w:val="1"/>
      <w:marLeft w:val="0"/>
      <w:marRight w:val="0"/>
      <w:marTop w:val="0"/>
      <w:marBottom w:val="0"/>
      <w:divBdr>
        <w:top w:val="none" w:sz="0" w:space="0" w:color="auto"/>
        <w:left w:val="none" w:sz="0" w:space="0" w:color="auto"/>
        <w:bottom w:val="none" w:sz="0" w:space="0" w:color="auto"/>
        <w:right w:val="none" w:sz="0" w:space="0" w:color="auto"/>
      </w:divBdr>
    </w:div>
    <w:div w:id="205384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1269</Characters>
  <Application>Microsoft Office Word</Application>
  <DocSecurity>4</DocSecurity>
  <Lines>10</Lines>
  <Paragraphs>2</Paragraphs>
  <ScaleCrop>false</ScaleCrop>
  <Company>微软中国</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