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C7" w:rsidRDefault="00A977DF" w:rsidP="00CC7935">
      <w:pPr>
        <w:spacing w:line="360" w:lineRule="auto"/>
        <w:jc w:val="center"/>
        <w:rPr>
          <w:rFonts w:ascii="Times New Roman" w:hAnsi="Times New Roman" w:cs="Times New Roman"/>
          <w:b/>
          <w:sz w:val="28"/>
          <w:szCs w:val="28"/>
        </w:rPr>
      </w:pPr>
      <w:r w:rsidRPr="00CC7935">
        <w:rPr>
          <w:rFonts w:ascii="Times New Roman" w:hAnsi="Times New Roman" w:cs="Times New Roman"/>
          <w:b/>
          <w:sz w:val="28"/>
          <w:szCs w:val="28"/>
        </w:rPr>
        <w:t>华安基金管理有限公司关于旗下部分基金开通同一基金不同类别</w:t>
      </w:r>
    </w:p>
    <w:p w:rsidR="00A977DF" w:rsidRPr="00CC7935" w:rsidRDefault="00C32A9A" w:rsidP="00CC7935">
      <w:pPr>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基金</w:t>
      </w:r>
      <w:r w:rsidR="00A977DF" w:rsidRPr="00CC7935">
        <w:rPr>
          <w:rFonts w:ascii="Times New Roman" w:hAnsi="Times New Roman" w:cs="Times New Roman"/>
          <w:b/>
          <w:sz w:val="28"/>
          <w:szCs w:val="28"/>
        </w:rPr>
        <w:t>份额相互转换业务的公告</w:t>
      </w:r>
    </w:p>
    <w:p w:rsidR="00A977DF" w:rsidRPr="00CC7935" w:rsidRDefault="00A977DF" w:rsidP="00A977DF">
      <w:pPr>
        <w:spacing w:line="360" w:lineRule="auto"/>
        <w:rPr>
          <w:rFonts w:ascii="Times New Roman" w:hAnsi="Times New Roman" w:cs="Times New Roman"/>
          <w:b/>
        </w:rPr>
      </w:pP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为更好地满足广大投资者的理财需求，华安基金管理有限公司（以下简称</w:t>
      </w:r>
      <w:r w:rsidRPr="00CC7935">
        <w:rPr>
          <w:rFonts w:ascii="Times New Roman" w:hAnsi="Times New Roman" w:cs="Times New Roman"/>
          <w:sz w:val="24"/>
          <w:szCs w:val="24"/>
        </w:rPr>
        <w:t>“</w:t>
      </w:r>
      <w:r w:rsidRPr="00CC7935">
        <w:rPr>
          <w:rFonts w:ascii="Times New Roman" w:hAnsi="Times New Roman" w:cs="Times New Roman"/>
          <w:sz w:val="24"/>
          <w:szCs w:val="24"/>
        </w:rPr>
        <w:t>本公司</w:t>
      </w:r>
      <w:r w:rsidRPr="00CC7935">
        <w:rPr>
          <w:rFonts w:ascii="Times New Roman" w:hAnsi="Times New Roman" w:cs="Times New Roman"/>
          <w:sz w:val="24"/>
          <w:szCs w:val="24"/>
        </w:rPr>
        <w:t>”</w:t>
      </w:r>
      <w:r w:rsidRPr="00CC7935">
        <w:rPr>
          <w:rFonts w:ascii="Times New Roman" w:hAnsi="Times New Roman" w:cs="Times New Roman"/>
          <w:sz w:val="24"/>
          <w:szCs w:val="24"/>
        </w:rPr>
        <w:t>）决定自</w:t>
      </w:r>
      <w:r w:rsidR="008A3864">
        <w:rPr>
          <w:rFonts w:ascii="Times New Roman" w:hAnsi="Times New Roman" w:cs="Times New Roman"/>
          <w:sz w:val="24"/>
          <w:szCs w:val="24"/>
        </w:rPr>
        <w:t>2025</w:t>
      </w:r>
      <w:r w:rsidR="00E666E2" w:rsidRPr="00ED1A7E">
        <w:rPr>
          <w:rFonts w:ascii="Times New Roman" w:hAnsi="Times New Roman" w:cs="Times New Roman"/>
          <w:sz w:val="24"/>
          <w:szCs w:val="24"/>
        </w:rPr>
        <w:t>年</w:t>
      </w:r>
      <w:r w:rsidR="006F4783">
        <w:rPr>
          <w:rFonts w:ascii="Times New Roman" w:hAnsi="Times New Roman" w:cs="Times New Roman"/>
          <w:sz w:val="24"/>
          <w:szCs w:val="24"/>
        </w:rPr>
        <w:t>12</w:t>
      </w:r>
      <w:r w:rsidRPr="00ED1A7E">
        <w:rPr>
          <w:rFonts w:ascii="Times New Roman" w:hAnsi="Times New Roman" w:cs="Times New Roman"/>
          <w:sz w:val="24"/>
          <w:szCs w:val="24"/>
        </w:rPr>
        <w:t>月</w:t>
      </w:r>
      <w:r w:rsidR="0010181B">
        <w:rPr>
          <w:rFonts w:ascii="Times New Roman" w:hAnsi="Times New Roman" w:cs="Times New Roman"/>
          <w:sz w:val="24"/>
          <w:szCs w:val="24"/>
        </w:rPr>
        <w:t>24</w:t>
      </w:r>
      <w:r w:rsidRPr="00ED1A7E">
        <w:rPr>
          <w:rFonts w:ascii="Times New Roman" w:hAnsi="Times New Roman" w:cs="Times New Roman"/>
          <w:sz w:val="24"/>
          <w:szCs w:val="24"/>
        </w:rPr>
        <w:t>日起</w:t>
      </w:r>
      <w:r w:rsidRPr="00CC7935">
        <w:rPr>
          <w:rFonts w:ascii="Times New Roman" w:hAnsi="Times New Roman" w:cs="Times New Roman"/>
          <w:sz w:val="24"/>
          <w:szCs w:val="24"/>
        </w:rPr>
        <w:t>，对本公司旗下部分基金开通同一基金不同类别基金份额之间的转换业务。现将相关事项公告如下：</w:t>
      </w:r>
    </w:p>
    <w:p w:rsidR="00CC7935" w:rsidRDefault="00CC7935" w:rsidP="00A977DF">
      <w:pPr>
        <w:spacing w:line="360" w:lineRule="auto"/>
        <w:ind w:firstLineChars="202" w:firstLine="485"/>
        <w:rPr>
          <w:rFonts w:ascii="Times New Roman" w:hAnsi="Times New Roman" w:cs="Times New Roman"/>
          <w:sz w:val="24"/>
          <w:szCs w:val="24"/>
        </w:rPr>
      </w:pPr>
    </w:p>
    <w:p w:rsidR="000D55FF" w:rsidRPr="00CC7935" w:rsidRDefault="000D55FF" w:rsidP="000D55FF">
      <w:pPr>
        <w:spacing w:line="360" w:lineRule="auto"/>
        <w:ind w:firstLineChars="202" w:firstLine="485"/>
        <w:rPr>
          <w:rFonts w:ascii="Times New Roman" w:hAnsi="Times New Roman" w:cs="Times New Roman"/>
          <w:sz w:val="24"/>
          <w:szCs w:val="24"/>
        </w:rPr>
      </w:pPr>
      <w:r>
        <w:rPr>
          <w:rFonts w:ascii="Times New Roman" w:hAnsi="Times New Roman" w:cs="Times New Roman" w:hint="eastAsia"/>
          <w:sz w:val="24"/>
          <w:szCs w:val="24"/>
        </w:rPr>
        <w:t>一</w:t>
      </w:r>
      <w:r w:rsidRPr="00CC7935">
        <w:rPr>
          <w:rFonts w:ascii="Times New Roman" w:hAnsi="Times New Roman" w:cs="Times New Roman"/>
          <w:sz w:val="24"/>
          <w:szCs w:val="24"/>
        </w:rPr>
        <w:t>、适用基金范围</w:t>
      </w:r>
    </w:p>
    <w:tbl>
      <w:tblPr>
        <w:tblStyle w:val="aa"/>
        <w:tblW w:w="8296" w:type="dxa"/>
        <w:tblLook w:val="04A0"/>
      </w:tblPr>
      <w:tblGrid>
        <w:gridCol w:w="3667"/>
        <w:gridCol w:w="3055"/>
        <w:gridCol w:w="1574"/>
      </w:tblGrid>
      <w:tr w:rsidR="00FA2CE3" w:rsidRPr="0010181B" w:rsidTr="00923002">
        <w:trPr>
          <w:trHeight w:val="179"/>
        </w:trPr>
        <w:tc>
          <w:tcPr>
            <w:tcW w:w="3667" w:type="dxa"/>
          </w:tcPr>
          <w:p w:rsidR="00FA2CE3" w:rsidRPr="0010181B" w:rsidRDefault="00FA2CE3" w:rsidP="007D72F8">
            <w:pPr>
              <w:rPr>
                <w:rFonts w:ascii="宋体" w:eastAsia="宋体" w:hAnsi="宋体"/>
                <w:b/>
                <w:szCs w:val="21"/>
              </w:rPr>
            </w:pPr>
            <w:r w:rsidRPr="0010181B">
              <w:rPr>
                <w:rFonts w:ascii="宋体" w:eastAsia="宋体" w:hAnsi="宋体" w:hint="eastAsia"/>
                <w:b/>
                <w:szCs w:val="21"/>
              </w:rPr>
              <w:t>基金名称</w:t>
            </w:r>
          </w:p>
        </w:tc>
        <w:tc>
          <w:tcPr>
            <w:tcW w:w="3055" w:type="dxa"/>
          </w:tcPr>
          <w:p w:rsidR="00FA2CE3" w:rsidRPr="0010181B" w:rsidRDefault="00FA2CE3" w:rsidP="007D72F8">
            <w:pPr>
              <w:rPr>
                <w:rFonts w:ascii="宋体" w:eastAsia="宋体" w:hAnsi="宋体"/>
                <w:b/>
                <w:szCs w:val="21"/>
              </w:rPr>
            </w:pPr>
            <w:r w:rsidRPr="0010181B">
              <w:rPr>
                <w:rFonts w:ascii="宋体" w:eastAsia="宋体" w:hAnsi="宋体" w:hint="eastAsia"/>
                <w:b/>
                <w:szCs w:val="21"/>
              </w:rPr>
              <w:t>份额简称</w:t>
            </w:r>
          </w:p>
        </w:tc>
        <w:tc>
          <w:tcPr>
            <w:tcW w:w="1574" w:type="dxa"/>
          </w:tcPr>
          <w:p w:rsidR="00FA2CE3" w:rsidRPr="0010181B" w:rsidRDefault="00FA2CE3" w:rsidP="007D72F8">
            <w:pPr>
              <w:rPr>
                <w:rFonts w:ascii="宋体" w:eastAsia="宋体" w:hAnsi="宋体"/>
                <w:b/>
                <w:szCs w:val="21"/>
              </w:rPr>
            </w:pPr>
            <w:r w:rsidRPr="0010181B">
              <w:rPr>
                <w:rFonts w:ascii="宋体" w:eastAsia="宋体" w:hAnsi="宋体" w:hint="eastAsia"/>
                <w:b/>
                <w:szCs w:val="21"/>
              </w:rPr>
              <w:t>份额代码</w:t>
            </w:r>
          </w:p>
        </w:tc>
      </w:tr>
      <w:tr w:rsidR="00DF6CDF" w:rsidRPr="0010181B" w:rsidTr="0062469C">
        <w:trPr>
          <w:trHeight w:val="179"/>
        </w:trPr>
        <w:tc>
          <w:tcPr>
            <w:tcW w:w="3667" w:type="dxa"/>
            <w:vMerge w:val="restart"/>
            <w:vAlign w:val="center"/>
          </w:tcPr>
          <w:p w:rsidR="00DF6CDF" w:rsidRPr="0010181B" w:rsidRDefault="00DF6CDF" w:rsidP="00DF6CDF">
            <w:pPr>
              <w:widowControl/>
              <w:jc w:val="left"/>
              <w:rPr>
                <w:rFonts w:ascii="宋体" w:eastAsia="宋体" w:hAnsi="宋体"/>
                <w:color w:val="000000"/>
                <w:szCs w:val="21"/>
              </w:rPr>
            </w:pPr>
            <w:r w:rsidRPr="0010181B">
              <w:rPr>
                <w:rFonts w:ascii="宋体" w:eastAsia="宋体" w:hAnsi="宋体" w:hint="eastAsia"/>
                <w:color w:val="000000"/>
                <w:szCs w:val="21"/>
              </w:rPr>
              <w:t>华安医药生物股票型发起式证券投资基金</w:t>
            </w:r>
          </w:p>
        </w:tc>
        <w:tc>
          <w:tcPr>
            <w:tcW w:w="3055" w:type="dxa"/>
            <w:vAlign w:val="center"/>
          </w:tcPr>
          <w:p w:rsidR="00DF6CDF" w:rsidRPr="00DF6CDF" w:rsidRDefault="00DF6CDF" w:rsidP="00DF6CDF">
            <w:pPr>
              <w:widowControl/>
              <w:rPr>
                <w:rFonts w:ascii="宋体" w:eastAsia="宋体" w:hAnsi="宋体"/>
                <w:color w:val="000000"/>
                <w:szCs w:val="21"/>
              </w:rPr>
            </w:pPr>
            <w:r w:rsidRPr="00DF6CDF">
              <w:rPr>
                <w:rFonts w:ascii="宋体" w:eastAsia="宋体" w:hAnsi="宋体" w:hint="eastAsia"/>
                <w:color w:val="000000"/>
                <w:szCs w:val="18"/>
              </w:rPr>
              <w:t>华安医药生物股票发起式A</w:t>
            </w:r>
          </w:p>
        </w:tc>
        <w:tc>
          <w:tcPr>
            <w:tcW w:w="1574" w:type="dxa"/>
            <w:vAlign w:val="center"/>
          </w:tcPr>
          <w:p w:rsidR="00DF6CDF" w:rsidRPr="0010181B" w:rsidRDefault="00DF6CDF" w:rsidP="00DF6CDF">
            <w:pPr>
              <w:rPr>
                <w:rFonts w:ascii="宋体" w:eastAsia="宋体" w:hAnsi="宋体"/>
                <w:szCs w:val="21"/>
              </w:rPr>
            </w:pPr>
            <w:r w:rsidRPr="0010181B">
              <w:rPr>
                <w:rFonts w:ascii="宋体" w:eastAsia="宋体" w:hAnsi="宋体" w:hint="eastAsia"/>
                <w:color w:val="000000"/>
                <w:szCs w:val="21"/>
              </w:rPr>
              <w:t>022690</w:t>
            </w:r>
          </w:p>
        </w:tc>
      </w:tr>
      <w:tr w:rsidR="00DF6CDF" w:rsidRPr="0010181B" w:rsidTr="0062469C">
        <w:trPr>
          <w:trHeight w:val="183"/>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华安医药生物股票发起式C</w:t>
            </w:r>
          </w:p>
        </w:tc>
        <w:tc>
          <w:tcPr>
            <w:tcW w:w="1574" w:type="dxa"/>
            <w:vAlign w:val="center"/>
          </w:tcPr>
          <w:p w:rsidR="00DF6CDF" w:rsidRPr="0010181B" w:rsidRDefault="00DF6CDF" w:rsidP="00DF6CDF">
            <w:pPr>
              <w:rPr>
                <w:rFonts w:ascii="宋体" w:eastAsia="宋体" w:hAnsi="宋体"/>
                <w:szCs w:val="21"/>
              </w:rPr>
            </w:pPr>
            <w:r w:rsidRPr="0010181B">
              <w:rPr>
                <w:rFonts w:ascii="宋体" w:eastAsia="宋体" w:hAnsi="宋体" w:hint="eastAsia"/>
                <w:color w:val="000000"/>
                <w:szCs w:val="21"/>
              </w:rPr>
              <w:t>022691</w:t>
            </w:r>
          </w:p>
        </w:tc>
      </w:tr>
      <w:tr w:rsidR="00DF6CDF" w:rsidRPr="0010181B" w:rsidTr="0062469C">
        <w:trPr>
          <w:trHeight w:val="356"/>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华安汇宏精选混合型证券投资基金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华安汇宏精选混合A</w:t>
            </w:r>
          </w:p>
        </w:tc>
        <w:tc>
          <w:tcPr>
            <w:tcW w:w="1574" w:type="dxa"/>
            <w:vAlign w:val="center"/>
          </w:tcPr>
          <w:p w:rsidR="00DF6CDF" w:rsidRPr="0010181B" w:rsidRDefault="00DF6CDF" w:rsidP="00DF6CDF">
            <w:pPr>
              <w:rPr>
                <w:rFonts w:ascii="宋体" w:eastAsia="宋体" w:hAnsi="宋体"/>
                <w:szCs w:val="21"/>
              </w:rPr>
            </w:pPr>
            <w:r w:rsidRPr="0010181B">
              <w:rPr>
                <w:rFonts w:ascii="宋体" w:eastAsia="宋体" w:hAnsi="宋体" w:hint="eastAsia"/>
                <w:color w:val="000000"/>
                <w:szCs w:val="21"/>
              </w:rPr>
              <w:t>011144</w:t>
            </w:r>
          </w:p>
        </w:tc>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华安汇宏精选混合C</w:t>
            </w:r>
          </w:p>
        </w:tc>
        <w:tc>
          <w:tcPr>
            <w:tcW w:w="1574" w:type="dxa"/>
            <w:vAlign w:val="center"/>
          </w:tcPr>
          <w:p w:rsidR="00DF6CDF" w:rsidRPr="0010181B" w:rsidRDefault="00DF6CDF" w:rsidP="00DF6CDF">
            <w:pPr>
              <w:rPr>
                <w:rFonts w:ascii="宋体" w:eastAsia="宋体" w:hAnsi="宋体"/>
                <w:szCs w:val="21"/>
              </w:rPr>
            </w:pPr>
            <w:r w:rsidRPr="0010181B">
              <w:rPr>
                <w:rFonts w:ascii="宋体" w:eastAsia="宋体" w:hAnsi="宋体" w:hint="eastAsia"/>
                <w:color w:val="000000"/>
                <w:szCs w:val="21"/>
              </w:rPr>
              <w:t>011145</w:t>
            </w:r>
          </w:p>
        </w:tc>
      </w:tr>
      <w:tr w:rsidR="00DF6CDF" w:rsidRPr="0010181B" w:rsidTr="0062469C">
        <w:trPr>
          <w:trHeight w:val="364"/>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华安新兴消费混合型证券投资基金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华安新兴消费混合A</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010554</w:t>
            </w:r>
          </w:p>
        </w:tc>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华安新兴消费混合C</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010555</w:t>
            </w:r>
          </w:p>
        </w:tc>
      </w:tr>
      <w:tr w:rsidR="00DF6CDF" w:rsidRPr="0010181B" w:rsidTr="0062469C">
        <w:trPr>
          <w:trHeight w:val="364"/>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华安安康灵活配置混合型证券投资基金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华安安康灵活配置混合A</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002363</w:t>
            </w:r>
          </w:p>
        </w:tc>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华安安康灵活配置混合C</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002364</w:t>
            </w:r>
          </w:p>
        </w:tc>
      </w:tr>
      <w:tr w:rsidR="00DF6CDF" w:rsidRPr="0010181B" w:rsidTr="0062469C">
        <w:trPr>
          <w:trHeight w:val="364"/>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华安大安全主题灵活配置混合型证券投资基金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华安大安全混合A</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002181</w:t>
            </w:r>
          </w:p>
        </w:tc>
        <w:bookmarkStart w:id="0" w:name="_GoBack"/>
        <w:bookmarkEnd w:id="0"/>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华安大安全混合C</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013618</w:t>
            </w:r>
          </w:p>
        </w:tc>
      </w:tr>
      <w:tr w:rsidR="00DF6CDF" w:rsidRPr="0010181B" w:rsidTr="0062469C">
        <w:trPr>
          <w:trHeight w:val="364"/>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华安研究驱动混合型证券投资基金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华安研究驱动混合A</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011663</w:t>
            </w:r>
          </w:p>
        </w:tc>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华安研究驱动混合C</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011664</w:t>
            </w:r>
          </w:p>
        </w:tc>
      </w:tr>
      <w:tr w:rsidR="00DF6CDF" w:rsidRPr="0010181B" w:rsidTr="0062469C">
        <w:trPr>
          <w:trHeight w:val="364"/>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华安安信消费服务混合型证券投资基金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华安安信消费混合A</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519002</w:t>
            </w:r>
          </w:p>
        </w:tc>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华安安信消费混合C</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013686</w:t>
            </w:r>
          </w:p>
        </w:tc>
      </w:tr>
      <w:tr w:rsidR="00DF6CDF" w:rsidRPr="0010181B" w:rsidTr="0062469C">
        <w:trPr>
          <w:trHeight w:val="364"/>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华安汇嘉精选混合型证券投资基金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华安汇嘉精选混合A</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010385</w:t>
            </w:r>
          </w:p>
        </w:tc>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华安汇嘉精选混合C</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010386</w:t>
            </w:r>
          </w:p>
        </w:tc>
      </w:tr>
      <w:tr w:rsidR="00DF6CDF" w:rsidRPr="0010181B" w:rsidTr="0062469C">
        <w:trPr>
          <w:trHeight w:val="364"/>
        </w:trPr>
        <w:tc>
          <w:tcPr>
            <w:tcW w:w="3667" w:type="dxa"/>
            <w:vMerge w:val="restart"/>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华安聚嘉精选混合型证券投资基金</w:t>
            </w: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华安聚嘉精选混合A</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011251</w:t>
            </w:r>
          </w:p>
        </w:tc>
      </w:tr>
      <w:tr w:rsidR="00DF6CDF" w:rsidRPr="0010181B" w:rsidTr="0062469C">
        <w:trPr>
          <w:trHeight w:val="364"/>
        </w:trPr>
        <w:tc>
          <w:tcPr>
            <w:tcW w:w="3667" w:type="dxa"/>
            <w:vMerge/>
            <w:vAlign w:val="center"/>
          </w:tcPr>
          <w:p w:rsidR="00DF6CDF" w:rsidRPr="0010181B" w:rsidRDefault="00DF6CDF" w:rsidP="00DF6CDF">
            <w:pPr>
              <w:rPr>
                <w:rFonts w:ascii="宋体" w:eastAsia="宋体" w:hAnsi="宋体"/>
                <w:color w:val="000000"/>
                <w:szCs w:val="21"/>
              </w:rPr>
            </w:pPr>
          </w:p>
        </w:tc>
        <w:tc>
          <w:tcPr>
            <w:tcW w:w="3055" w:type="dxa"/>
            <w:vAlign w:val="center"/>
          </w:tcPr>
          <w:p w:rsidR="00DF6CDF" w:rsidRPr="00DF6CDF" w:rsidRDefault="00DF6CDF" w:rsidP="00DF6CDF">
            <w:pPr>
              <w:rPr>
                <w:rFonts w:ascii="宋体" w:eastAsia="宋体" w:hAnsi="宋体"/>
                <w:color w:val="000000"/>
                <w:szCs w:val="21"/>
              </w:rPr>
            </w:pPr>
            <w:r w:rsidRPr="00DF6CDF">
              <w:rPr>
                <w:rFonts w:ascii="宋体" w:eastAsia="宋体" w:hAnsi="宋体" w:hint="eastAsia"/>
                <w:color w:val="000000"/>
                <w:szCs w:val="18"/>
              </w:rPr>
              <w:t>华安聚嘉精选混合C</w:t>
            </w:r>
          </w:p>
        </w:tc>
        <w:tc>
          <w:tcPr>
            <w:tcW w:w="1574" w:type="dxa"/>
            <w:vAlign w:val="center"/>
          </w:tcPr>
          <w:p w:rsidR="00DF6CDF" w:rsidRPr="0010181B" w:rsidRDefault="00DF6CDF" w:rsidP="00DF6CDF">
            <w:pPr>
              <w:rPr>
                <w:rFonts w:ascii="宋体" w:eastAsia="宋体" w:hAnsi="宋体"/>
                <w:color w:val="000000"/>
                <w:szCs w:val="21"/>
              </w:rPr>
            </w:pPr>
            <w:r w:rsidRPr="0010181B">
              <w:rPr>
                <w:rFonts w:ascii="宋体" w:eastAsia="宋体" w:hAnsi="宋体" w:hint="eastAsia"/>
                <w:color w:val="000000"/>
                <w:szCs w:val="21"/>
              </w:rPr>
              <w:t>011252</w:t>
            </w:r>
          </w:p>
        </w:tc>
      </w:tr>
    </w:tbl>
    <w:p w:rsidR="000D55FF" w:rsidRPr="008667D8" w:rsidRDefault="000D55FF" w:rsidP="000D55FF">
      <w:pPr>
        <w:spacing w:line="360" w:lineRule="auto"/>
        <w:ind w:firstLineChars="202" w:firstLine="485"/>
        <w:rPr>
          <w:rFonts w:ascii="Times New Roman" w:hAnsi="Times New Roman" w:cs="Times New Roman"/>
          <w:sz w:val="24"/>
          <w:szCs w:val="24"/>
        </w:rPr>
      </w:pPr>
    </w:p>
    <w:p w:rsidR="000D55FF" w:rsidRPr="00CC7935" w:rsidRDefault="000D55FF" w:rsidP="000D55F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本公司今后募集管理的开放式基金将根据具体情况确定是否适用不同</w:t>
      </w:r>
      <w:r>
        <w:rPr>
          <w:rFonts w:ascii="Times New Roman" w:hAnsi="Times New Roman" w:cs="Times New Roman" w:hint="eastAsia"/>
          <w:sz w:val="24"/>
          <w:szCs w:val="24"/>
        </w:rPr>
        <w:t>类别基金</w:t>
      </w:r>
      <w:r w:rsidRPr="00CC7935">
        <w:rPr>
          <w:rFonts w:ascii="Times New Roman" w:hAnsi="Times New Roman" w:cs="Times New Roman"/>
          <w:sz w:val="24"/>
          <w:szCs w:val="24"/>
        </w:rPr>
        <w:t>份额之间的转换业务，具体情况以相关公告为准。</w:t>
      </w:r>
    </w:p>
    <w:p w:rsidR="000D55FF" w:rsidRPr="000D55FF" w:rsidRDefault="000D55FF" w:rsidP="00A977DF">
      <w:pPr>
        <w:spacing w:line="360" w:lineRule="auto"/>
        <w:ind w:firstLineChars="202" w:firstLine="485"/>
        <w:rPr>
          <w:rFonts w:ascii="Times New Roman" w:hAnsi="Times New Roman" w:cs="Times New Roman"/>
          <w:sz w:val="24"/>
          <w:szCs w:val="24"/>
        </w:rPr>
      </w:pPr>
    </w:p>
    <w:p w:rsidR="00A977DF" w:rsidRPr="00CC7935" w:rsidRDefault="000D55FF" w:rsidP="00A977DF">
      <w:pPr>
        <w:spacing w:line="360" w:lineRule="auto"/>
        <w:ind w:firstLineChars="202" w:firstLine="485"/>
        <w:rPr>
          <w:rFonts w:ascii="Times New Roman" w:hAnsi="Times New Roman" w:cs="Times New Roman"/>
          <w:sz w:val="24"/>
          <w:szCs w:val="24"/>
        </w:rPr>
      </w:pPr>
      <w:r>
        <w:rPr>
          <w:rFonts w:ascii="Times New Roman" w:hAnsi="Times New Roman" w:cs="Times New Roman" w:hint="eastAsia"/>
          <w:sz w:val="24"/>
          <w:szCs w:val="24"/>
        </w:rPr>
        <w:t>二</w:t>
      </w:r>
      <w:r w:rsidR="00CC7935" w:rsidRPr="00CC7935">
        <w:rPr>
          <w:rFonts w:ascii="Times New Roman" w:hAnsi="Times New Roman" w:cs="Times New Roman"/>
          <w:sz w:val="24"/>
          <w:szCs w:val="24"/>
        </w:rPr>
        <w:t>、业务规则</w:t>
      </w:r>
    </w:p>
    <w:p w:rsidR="00A977DF" w:rsidRPr="00CC7935" w:rsidRDefault="00A977DF" w:rsidP="00560F20">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1</w:t>
      </w:r>
      <w:r w:rsidRPr="00CC7935">
        <w:rPr>
          <w:rFonts w:ascii="Times New Roman" w:hAnsi="Times New Roman" w:cs="Times New Roman"/>
          <w:sz w:val="24"/>
          <w:szCs w:val="24"/>
        </w:rPr>
        <w:t>、</w:t>
      </w:r>
      <w:r w:rsidR="00C32A9A">
        <w:rPr>
          <w:rFonts w:ascii="Times New Roman" w:hAnsi="Times New Roman" w:cs="Times New Roman" w:hint="eastAsia"/>
          <w:sz w:val="24"/>
          <w:szCs w:val="24"/>
        </w:rPr>
        <w:t>同一基金</w:t>
      </w:r>
      <w:r w:rsidRPr="00CC7935">
        <w:rPr>
          <w:rFonts w:ascii="Times New Roman" w:hAnsi="Times New Roman" w:cs="Times New Roman"/>
          <w:sz w:val="24"/>
          <w:szCs w:val="24"/>
        </w:rPr>
        <w:t>不同类别</w:t>
      </w:r>
      <w:r w:rsidR="00C32A9A">
        <w:rPr>
          <w:rFonts w:ascii="Times New Roman" w:hAnsi="Times New Roman" w:cs="Times New Roman" w:hint="eastAsia"/>
          <w:sz w:val="24"/>
          <w:szCs w:val="24"/>
        </w:rPr>
        <w:t>基金份额</w:t>
      </w:r>
      <w:r w:rsidRPr="00CC7935">
        <w:rPr>
          <w:rFonts w:ascii="Times New Roman" w:hAnsi="Times New Roman" w:cs="Times New Roman"/>
          <w:sz w:val="24"/>
          <w:szCs w:val="24"/>
        </w:rPr>
        <w:t>间的转换业务（以下简称</w:t>
      </w:r>
      <w:r w:rsidRPr="00CC7935">
        <w:rPr>
          <w:rFonts w:ascii="Times New Roman" w:hAnsi="Times New Roman" w:cs="Times New Roman"/>
          <w:sz w:val="24"/>
          <w:szCs w:val="24"/>
        </w:rPr>
        <w:t>“</w:t>
      </w:r>
      <w:r w:rsidRPr="00CC7935">
        <w:rPr>
          <w:rFonts w:ascii="Times New Roman" w:hAnsi="Times New Roman" w:cs="Times New Roman"/>
          <w:sz w:val="24"/>
          <w:szCs w:val="24"/>
        </w:rPr>
        <w:t>本业务</w:t>
      </w:r>
      <w:r w:rsidRPr="00CC7935">
        <w:rPr>
          <w:rFonts w:ascii="Times New Roman" w:hAnsi="Times New Roman" w:cs="Times New Roman"/>
          <w:sz w:val="24"/>
          <w:szCs w:val="24"/>
        </w:rPr>
        <w:t>”</w:t>
      </w:r>
      <w:r w:rsidRPr="00CC7935">
        <w:rPr>
          <w:rFonts w:ascii="Times New Roman" w:hAnsi="Times New Roman" w:cs="Times New Roman"/>
          <w:sz w:val="24"/>
          <w:szCs w:val="24"/>
        </w:rPr>
        <w:t>）是指：</w:t>
      </w:r>
      <w:r w:rsidR="003E12BB" w:rsidRPr="003E12BB">
        <w:rPr>
          <w:rFonts w:ascii="Times New Roman" w:hAnsi="Times New Roman" w:cs="Times New Roman" w:hint="eastAsia"/>
          <w:sz w:val="24"/>
          <w:szCs w:val="24"/>
        </w:rPr>
        <w:lastRenderedPageBreak/>
        <w:t>若投资者持有的某只基金具</w:t>
      </w:r>
      <w:r w:rsidR="003E12BB">
        <w:rPr>
          <w:rFonts w:ascii="Times New Roman" w:hAnsi="Times New Roman" w:cs="Times New Roman" w:hint="eastAsia"/>
          <w:sz w:val="24"/>
          <w:szCs w:val="24"/>
        </w:rPr>
        <w:t>有</w:t>
      </w:r>
      <w:r w:rsidR="003E12BB" w:rsidRPr="003E12BB">
        <w:rPr>
          <w:rFonts w:ascii="Times New Roman" w:hAnsi="Times New Roman" w:cs="Times New Roman" w:hint="eastAsia"/>
          <w:sz w:val="24"/>
          <w:szCs w:val="24"/>
        </w:rPr>
        <w:t>多种类别份额（各分设不同代码），且登记在同一注册机构，投资者可以将其持有的某一类基金份额转换</w:t>
      </w:r>
      <w:r w:rsidR="003E12BB">
        <w:rPr>
          <w:rFonts w:ascii="Times New Roman" w:hAnsi="Times New Roman" w:cs="Times New Roman" w:hint="eastAsia"/>
          <w:sz w:val="24"/>
          <w:szCs w:val="24"/>
        </w:rPr>
        <w:t>成同只基金的其他类份额。如</w:t>
      </w:r>
      <w:r w:rsidRPr="00CC7935">
        <w:rPr>
          <w:rFonts w:ascii="Times New Roman" w:hAnsi="Times New Roman" w:cs="Times New Roman"/>
          <w:sz w:val="24"/>
          <w:szCs w:val="24"/>
        </w:rPr>
        <w:t>某只基金具有</w:t>
      </w:r>
      <w:r w:rsidRPr="00CC7935">
        <w:rPr>
          <w:rFonts w:ascii="Times New Roman" w:hAnsi="Times New Roman" w:cs="Times New Roman"/>
          <w:sz w:val="24"/>
          <w:szCs w:val="24"/>
        </w:rPr>
        <w:t>A</w:t>
      </w:r>
      <w:r w:rsidRPr="00CC7935">
        <w:rPr>
          <w:rFonts w:ascii="Times New Roman" w:hAnsi="Times New Roman" w:cs="Times New Roman"/>
          <w:sz w:val="24"/>
          <w:szCs w:val="24"/>
        </w:rPr>
        <w:t>类份额</w:t>
      </w:r>
      <w:r w:rsidR="00FA2CE3">
        <w:rPr>
          <w:rFonts w:ascii="Times New Roman" w:hAnsi="Times New Roman" w:cs="Times New Roman" w:hint="eastAsia"/>
          <w:sz w:val="24"/>
          <w:szCs w:val="24"/>
        </w:rPr>
        <w:t>和</w:t>
      </w:r>
      <w:r w:rsidRPr="00CC7935">
        <w:rPr>
          <w:rFonts w:ascii="Times New Roman" w:hAnsi="Times New Roman" w:cs="Times New Roman"/>
          <w:sz w:val="24"/>
          <w:szCs w:val="24"/>
        </w:rPr>
        <w:t>C</w:t>
      </w:r>
      <w:r w:rsidRPr="00CC7935">
        <w:rPr>
          <w:rFonts w:ascii="Times New Roman" w:hAnsi="Times New Roman" w:cs="Times New Roman"/>
          <w:sz w:val="24"/>
          <w:szCs w:val="24"/>
        </w:rPr>
        <w:t>类份额，投资者可以将其持有的</w:t>
      </w:r>
      <w:r w:rsidRPr="00CC7935">
        <w:rPr>
          <w:rFonts w:ascii="Times New Roman" w:hAnsi="Times New Roman" w:cs="Times New Roman"/>
          <w:sz w:val="24"/>
          <w:szCs w:val="24"/>
        </w:rPr>
        <w:t>A</w:t>
      </w:r>
      <w:r w:rsidRPr="00CC7935">
        <w:rPr>
          <w:rFonts w:ascii="Times New Roman" w:hAnsi="Times New Roman" w:cs="Times New Roman"/>
          <w:sz w:val="24"/>
          <w:szCs w:val="24"/>
        </w:rPr>
        <w:t>类份额转换成同只基金的</w:t>
      </w:r>
      <w:r w:rsidRPr="00CC7935">
        <w:rPr>
          <w:rFonts w:ascii="Times New Roman" w:hAnsi="Times New Roman" w:cs="Times New Roman"/>
          <w:sz w:val="24"/>
          <w:szCs w:val="24"/>
        </w:rPr>
        <w:t>C</w:t>
      </w:r>
      <w:r w:rsidRPr="00CC7935">
        <w:rPr>
          <w:rFonts w:ascii="Times New Roman" w:hAnsi="Times New Roman" w:cs="Times New Roman"/>
          <w:sz w:val="24"/>
          <w:szCs w:val="24"/>
        </w:rPr>
        <w:t>类份额，或将其持有的</w:t>
      </w:r>
      <w:r w:rsidRPr="00CC7935">
        <w:rPr>
          <w:rFonts w:ascii="Times New Roman" w:hAnsi="Times New Roman" w:cs="Times New Roman"/>
          <w:sz w:val="24"/>
          <w:szCs w:val="24"/>
        </w:rPr>
        <w:t>C</w:t>
      </w:r>
      <w:r w:rsidRPr="00CC7935">
        <w:rPr>
          <w:rFonts w:ascii="Times New Roman" w:hAnsi="Times New Roman" w:cs="Times New Roman"/>
          <w:sz w:val="24"/>
          <w:szCs w:val="24"/>
        </w:rPr>
        <w:t>类份额转换成同只基金的</w:t>
      </w:r>
      <w:r w:rsidRPr="00CC7935">
        <w:rPr>
          <w:rFonts w:ascii="Times New Roman" w:hAnsi="Times New Roman" w:cs="Times New Roman"/>
          <w:sz w:val="24"/>
          <w:szCs w:val="24"/>
        </w:rPr>
        <w:t>A</w:t>
      </w:r>
      <w:r w:rsidRPr="00CC7935">
        <w:rPr>
          <w:rFonts w:ascii="Times New Roman" w:hAnsi="Times New Roman" w:cs="Times New Roman"/>
          <w:sz w:val="24"/>
          <w:szCs w:val="24"/>
        </w:rPr>
        <w:t>类份额。</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2</w:t>
      </w:r>
      <w:r w:rsidRPr="00CC7935">
        <w:rPr>
          <w:rFonts w:ascii="Times New Roman" w:hAnsi="Times New Roman" w:cs="Times New Roman"/>
          <w:sz w:val="24"/>
          <w:szCs w:val="24"/>
        </w:rPr>
        <w:t>、同一基金不同类别基金份额间相互转换单笔转换转出的最低份额为</w:t>
      </w:r>
      <w:r w:rsidRPr="00CC7935">
        <w:rPr>
          <w:rFonts w:ascii="Times New Roman" w:hAnsi="Times New Roman" w:cs="Times New Roman"/>
          <w:sz w:val="24"/>
          <w:szCs w:val="24"/>
        </w:rPr>
        <w:t>1</w:t>
      </w:r>
      <w:r w:rsidRPr="00CC7935">
        <w:rPr>
          <w:rFonts w:ascii="Times New Roman" w:hAnsi="Times New Roman" w:cs="Times New Roman"/>
          <w:sz w:val="24"/>
          <w:szCs w:val="24"/>
        </w:rPr>
        <w:t>份，份额相互转换转出后剩余份额不产生强制赎回，份额相互转换转入金额不受转入基金首次申购及追加数额限制。</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3</w:t>
      </w:r>
      <w:r w:rsidRPr="00CC7935">
        <w:rPr>
          <w:rFonts w:ascii="Times New Roman" w:hAnsi="Times New Roman" w:cs="Times New Roman"/>
          <w:sz w:val="24"/>
          <w:szCs w:val="24"/>
        </w:rPr>
        <w:t>、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4</w:t>
      </w:r>
      <w:r w:rsidRPr="00CC7935">
        <w:rPr>
          <w:rFonts w:ascii="Times New Roman" w:hAnsi="Times New Roman" w:cs="Times New Roman"/>
          <w:sz w:val="24"/>
          <w:szCs w:val="24"/>
        </w:rPr>
        <w:t>、</w:t>
      </w:r>
      <w:r w:rsidR="00563471">
        <w:rPr>
          <w:rFonts w:ascii="Times New Roman" w:hAnsi="Times New Roman" w:cs="Times New Roman" w:hint="eastAsia"/>
          <w:sz w:val="24"/>
          <w:szCs w:val="24"/>
        </w:rPr>
        <w:t>同一基金</w:t>
      </w:r>
      <w:r w:rsidRPr="00CC7935">
        <w:rPr>
          <w:rFonts w:ascii="Times New Roman" w:hAnsi="Times New Roman" w:cs="Times New Roman"/>
          <w:sz w:val="24"/>
          <w:szCs w:val="24"/>
        </w:rPr>
        <w:t>不同类别</w:t>
      </w:r>
      <w:r w:rsidR="00563471">
        <w:rPr>
          <w:rFonts w:ascii="Times New Roman" w:hAnsi="Times New Roman" w:cs="Times New Roman" w:hint="eastAsia"/>
          <w:sz w:val="24"/>
          <w:szCs w:val="24"/>
        </w:rPr>
        <w:t>基金份额</w:t>
      </w:r>
      <w:r w:rsidRPr="00CC7935">
        <w:rPr>
          <w:rFonts w:ascii="Times New Roman" w:hAnsi="Times New Roman" w:cs="Times New Roman"/>
          <w:sz w:val="24"/>
          <w:szCs w:val="24"/>
        </w:rPr>
        <w:t>转换时，以申请当日基金份额净值为基础计算。投资者采用</w:t>
      </w:r>
      <w:r w:rsidRPr="00CC7935">
        <w:rPr>
          <w:rFonts w:ascii="Times New Roman" w:hAnsi="Times New Roman" w:cs="Times New Roman"/>
          <w:sz w:val="24"/>
          <w:szCs w:val="24"/>
        </w:rPr>
        <w:t>“</w:t>
      </w:r>
      <w:r w:rsidRPr="00CC7935">
        <w:rPr>
          <w:rFonts w:ascii="Times New Roman" w:hAnsi="Times New Roman" w:cs="Times New Roman"/>
          <w:sz w:val="24"/>
          <w:szCs w:val="24"/>
        </w:rPr>
        <w:t>份额转换</w:t>
      </w:r>
      <w:r w:rsidRPr="00CC7935">
        <w:rPr>
          <w:rFonts w:ascii="Times New Roman" w:hAnsi="Times New Roman" w:cs="Times New Roman"/>
          <w:sz w:val="24"/>
          <w:szCs w:val="24"/>
        </w:rPr>
        <w:t>”</w:t>
      </w:r>
      <w:r w:rsidRPr="00CC7935">
        <w:rPr>
          <w:rFonts w:ascii="Times New Roman" w:hAnsi="Times New Roman" w:cs="Times New Roman"/>
          <w:sz w:val="24"/>
          <w:szCs w:val="24"/>
        </w:rPr>
        <w:t>的原则提交申请，不同份额类别转换遵循</w:t>
      </w:r>
      <w:r w:rsidRPr="00CC7935">
        <w:rPr>
          <w:rFonts w:ascii="Times New Roman" w:hAnsi="Times New Roman" w:cs="Times New Roman"/>
          <w:sz w:val="24"/>
          <w:szCs w:val="24"/>
        </w:rPr>
        <w:t>“</w:t>
      </w:r>
      <w:r w:rsidRPr="00CC7935">
        <w:rPr>
          <w:rFonts w:ascii="Times New Roman" w:hAnsi="Times New Roman" w:cs="Times New Roman"/>
          <w:sz w:val="24"/>
          <w:szCs w:val="24"/>
        </w:rPr>
        <w:t>先进先出</w:t>
      </w:r>
      <w:r w:rsidRPr="00CC7935">
        <w:rPr>
          <w:rFonts w:ascii="Times New Roman" w:hAnsi="Times New Roman" w:cs="Times New Roman"/>
          <w:sz w:val="24"/>
          <w:szCs w:val="24"/>
        </w:rPr>
        <w:t>”</w:t>
      </w:r>
      <w:r w:rsidRPr="00CC7935">
        <w:rPr>
          <w:rFonts w:ascii="Times New Roman" w:hAnsi="Times New Roman" w:cs="Times New Roman"/>
          <w:sz w:val="24"/>
          <w:szCs w:val="24"/>
        </w:rPr>
        <w:t>的原则。</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5</w:t>
      </w:r>
      <w:r w:rsidRPr="00CC7935">
        <w:rPr>
          <w:rFonts w:ascii="Times New Roman" w:hAnsi="Times New Roman" w:cs="Times New Roman"/>
          <w:sz w:val="24"/>
          <w:szCs w:val="24"/>
        </w:rPr>
        <w:t>、投资者办理本业务时，转出份额必须处于可赎回状态，转入份额必须处于可申购状态，已经冻结的基金份额不得申请转换业务。</w:t>
      </w:r>
    </w:p>
    <w:p w:rsidR="00A977DF"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6</w:t>
      </w:r>
      <w:r w:rsidRPr="00CC7935">
        <w:rPr>
          <w:rFonts w:ascii="Times New Roman" w:hAnsi="Times New Roman" w:cs="Times New Roman"/>
          <w:sz w:val="24"/>
          <w:szCs w:val="24"/>
        </w:rPr>
        <w:t>、本业务与公司已经开通的不同基金之间可以相互转换的原有业务不产生冲突。</w:t>
      </w:r>
    </w:p>
    <w:p w:rsidR="003E12BB" w:rsidRPr="00CC7935" w:rsidRDefault="003E12BB" w:rsidP="00A977DF">
      <w:pPr>
        <w:spacing w:line="360" w:lineRule="auto"/>
        <w:ind w:firstLineChars="202" w:firstLine="485"/>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Pr="003E12BB">
        <w:rPr>
          <w:rFonts w:ascii="Times New Roman" w:hAnsi="Times New Roman" w:cs="Times New Roman" w:hint="eastAsia"/>
          <w:sz w:val="24"/>
          <w:szCs w:val="24"/>
        </w:rPr>
        <w:t>由于各销售机构的系统差异以及业务安排等原因，开展同一基金不同类别基金份额之间转换业务的时间及其他未尽事宜详见各销售机构的相关业务规则和公告。同一基金不</w:t>
      </w:r>
      <w:r w:rsidR="00560F20">
        <w:rPr>
          <w:rFonts w:ascii="Times New Roman" w:hAnsi="Times New Roman" w:cs="Times New Roman" w:hint="eastAsia"/>
          <w:sz w:val="24"/>
          <w:szCs w:val="24"/>
        </w:rPr>
        <w:t>同</w:t>
      </w:r>
      <w:r w:rsidRPr="003E12BB">
        <w:rPr>
          <w:rFonts w:ascii="Times New Roman" w:hAnsi="Times New Roman" w:cs="Times New Roman" w:hint="eastAsia"/>
          <w:sz w:val="24"/>
          <w:szCs w:val="24"/>
        </w:rPr>
        <w:t>类别份额间的转换业务只能在同时代理销售该基金多种类别基金份额的同一销售机构进行。</w:t>
      </w:r>
    </w:p>
    <w:p w:rsidR="00C565C3" w:rsidRPr="00CC7935" w:rsidRDefault="00C565C3" w:rsidP="00A977DF">
      <w:pPr>
        <w:spacing w:line="360" w:lineRule="auto"/>
        <w:ind w:firstLineChars="202" w:firstLine="485"/>
        <w:rPr>
          <w:rFonts w:ascii="Times New Roman" w:hAnsi="Times New Roman" w:cs="Times New Roman"/>
          <w:sz w:val="24"/>
          <w:szCs w:val="24"/>
        </w:rPr>
      </w:pPr>
    </w:p>
    <w:p w:rsidR="00A977DF" w:rsidRPr="00CC7935" w:rsidRDefault="000D55FF" w:rsidP="00A977DF">
      <w:pPr>
        <w:spacing w:line="360" w:lineRule="auto"/>
        <w:ind w:firstLineChars="202" w:firstLine="485"/>
        <w:rPr>
          <w:rFonts w:ascii="Times New Roman" w:hAnsi="Times New Roman" w:cs="Times New Roman"/>
          <w:sz w:val="24"/>
          <w:szCs w:val="24"/>
        </w:rPr>
      </w:pPr>
      <w:r>
        <w:rPr>
          <w:rFonts w:ascii="Times New Roman" w:hAnsi="Times New Roman" w:cs="Times New Roman" w:hint="eastAsia"/>
          <w:sz w:val="24"/>
          <w:szCs w:val="24"/>
        </w:rPr>
        <w:t>三</w:t>
      </w:r>
      <w:r w:rsidR="00A977DF" w:rsidRPr="00CC7935">
        <w:rPr>
          <w:rFonts w:ascii="Times New Roman" w:hAnsi="Times New Roman" w:cs="Times New Roman"/>
          <w:sz w:val="24"/>
          <w:szCs w:val="24"/>
        </w:rPr>
        <w:t>、同一基金不同类别基金份额间相互转换业务的费率计算</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不同份额类别的转换费用由补差费和转出费两部分构成，具体收取情况视每次转换时不同份额类别之间的申购费率差异情况和转出份额类别的赎回费率而定。</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转换费用的具体计算公式如下：</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转出基金赎回费</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转出份额</w:t>
      </w:r>
      <w:r w:rsidRPr="00CC7935">
        <w:rPr>
          <w:rFonts w:ascii="Times New Roman" w:hAnsi="Times New Roman" w:cs="Times New Roman"/>
          <w:sz w:val="24"/>
          <w:szCs w:val="24"/>
        </w:rPr>
        <w:t>×</w:t>
      </w:r>
      <w:r w:rsidRPr="00CC7935">
        <w:rPr>
          <w:rFonts w:ascii="Times New Roman" w:hAnsi="Times New Roman" w:cs="Times New Roman"/>
          <w:sz w:val="24"/>
          <w:szCs w:val="24"/>
        </w:rPr>
        <w:t>转出基金当日基金份额净值</w:t>
      </w:r>
      <w:r w:rsidRPr="00CC7935">
        <w:rPr>
          <w:rFonts w:ascii="Times New Roman" w:hAnsi="Times New Roman" w:cs="Times New Roman"/>
          <w:sz w:val="24"/>
          <w:szCs w:val="24"/>
        </w:rPr>
        <w:t>×</w:t>
      </w:r>
      <w:r w:rsidRPr="00CC7935">
        <w:rPr>
          <w:rFonts w:ascii="Times New Roman" w:hAnsi="Times New Roman" w:cs="Times New Roman"/>
          <w:sz w:val="24"/>
          <w:szCs w:val="24"/>
        </w:rPr>
        <w:t>转出基金赎回费率</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lastRenderedPageBreak/>
        <w:t>转出金额</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转出份额</w:t>
      </w:r>
      <w:r w:rsidRPr="00CC7935">
        <w:rPr>
          <w:rFonts w:ascii="Times New Roman" w:hAnsi="Times New Roman" w:cs="Times New Roman"/>
          <w:sz w:val="24"/>
          <w:szCs w:val="24"/>
        </w:rPr>
        <w:t>×</w:t>
      </w:r>
      <w:r w:rsidRPr="00CC7935">
        <w:rPr>
          <w:rFonts w:ascii="Times New Roman" w:hAnsi="Times New Roman" w:cs="Times New Roman"/>
          <w:sz w:val="24"/>
          <w:szCs w:val="24"/>
        </w:rPr>
        <w:t>转出基金当日基金份额净值－转出基金赎回费</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基金转换申购补差费：</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如果，转入基金的申购费</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转出基金的申购费，</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基金转换申购补差费</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转入基金的申购费－转出基金的申购费</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如果，转出基金的申购费</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转入基金的申购费，</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基金转换申购补差费</w:t>
      </w:r>
      <w:r w:rsidR="00C565C3" w:rsidRPr="00CC7935">
        <w:rPr>
          <w:rFonts w:ascii="Times New Roman" w:hAnsi="Times New Roman" w:cs="Times New Roman"/>
          <w:sz w:val="24"/>
          <w:szCs w:val="24"/>
        </w:rPr>
        <w:t>＝</w:t>
      </w:r>
      <w:r w:rsidR="00C565C3" w:rsidRPr="00CC7935">
        <w:rPr>
          <w:rFonts w:ascii="Times New Roman" w:hAnsi="Times New Roman" w:cs="Times New Roman"/>
          <w:sz w:val="24"/>
          <w:szCs w:val="24"/>
        </w:rPr>
        <w:t>0</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其中：转入基金的申购费</w:t>
      </w:r>
      <w:r w:rsidR="00C565C3" w:rsidRPr="00CC7935">
        <w:rPr>
          <w:rFonts w:ascii="Times New Roman" w:hAnsi="Times New Roman" w:cs="Times New Roman"/>
          <w:sz w:val="24"/>
          <w:szCs w:val="24"/>
        </w:rPr>
        <w:t>＝</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转出金额－转出金额</w:t>
      </w:r>
      <w:r w:rsidRPr="00CC7935">
        <w:rPr>
          <w:rFonts w:ascii="Times New Roman" w:hAnsi="Times New Roman" w:cs="Times New Roman"/>
          <w:sz w:val="24"/>
          <w:szCs w:val="24"/>
        </w:rPr>
        <w:t>÷</w:t>
      </w:r>
      <w:r w:rsidRPr="00CC7935">
        <w:rPr>
          <w:rFonts w:ascii="Times New Roman" w:hAnsi="Times New Roman" w:cs="Times New Roman"/>
          <w:sz w:val="24"/>
          <w:szCs w:val="24"/>
        </w:rPr>
        <w:t>（</w:t>
      </w:r>
      <w:r w:rsidRPr="00CC7935">
        <w:rPr>
          <w:rFonts w:ascii="Times New Roman" w:hAnsi="Times New Roman" w:cs="Times New Roman"/>
          <w:sz w:val="24"/>
          <w:szCs w:val="24"/>
        </w:rPr>
        <w:t>1</w:t>
      </w:r>
      <w:r w:rsidRPr="00CC7935">
        <w:rPr>
          <w:rFonts w:ascii="Times New Roman" w:hAnsi="Times New Roman" w:cs="Times New Roman"/>
          <w:sz w:val="24"/>
          <w:szCs w:val="24"/>
        </w:rPr>
        <w:t>＋转入基金的申购费率）</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，或，转入基金固定申购费金额</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转出基金的申购费</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w:t>
      </w:r>
      <w:r w:rsidRPr="00CC7935">
        <w:rPr>
          <w:rFonts w:ascii="Times New Roman" w:hAnsi="Times New Roman" w:cs="Times New Roman"/>
          <w:sz w:val="24"/>
          <w:szCs w:val="24"/>
        </w:rPr>
        <w:t>转出金额－转出金额</w:t>
      </w:r>
      <w:r w:rsidRPr="00CC7935">
        <w:rPr>
          <w:rFonts w:ascii="Times New Roman" w:hAnsi="Times New Roman" w:cs="Times New Roman"/>
          <w:sz w:val="24"/>
          <w:szCs w:val="24"/>
        </w:rPr>
        <w:t>÷</w:t>
      </w:r>
      <w:r w:rsidRPr="00CC7935">
        <w:rPr>
          <w:rFonts w:ascii="Times New Roman" w:hAnsi="Times New Roman" w:cs="Times New Roman"/>
          <w:sz w:val="24"/>
          <w:szCs w:val="24"/>
        </w:rPr>
        <w:t>（</w:t>
      </w:r>
      <w:r w:rsidRPr="00CC7935">
        <w:rPr>
          <w:rFonts w:ascii="Times New Roman" w:hAnsi="Times New Roman" w:cs="Times New Roman"/>
          <w:sz w:val="24"/>
          <w:szCs w:val="24"/>
        </w:rPr>
        <w:t>1</w:t>
      </w:r>
      <w:r w:rsidRPr="00CC7935">
        <w:rPr>
          <w:rFonts w:ascii="Times New Roman" w:hAnsi="Times New Roman" w:cs="Times New Roman"/>
          <w:sz w:val="24"/>
          <w:szCs w:val="24"/>
        </w:rPr>
        <w:t>＋转出基金的申购费率）</w:t>
      </w:r>
      <w:r w:rsidRPr="00CC7935">
        <w:rPr>
          <w:rFonts w:ascii="Times New Roman" w:hAnsi="Times New Roman" w:cs="Times New Roman"/>
          <w:sz w:val="24"/>
          <w:szCs w:val="24"/>
        </w:rPr>
        <w:t xml:space="preserve">] </w:t>
      </w:r>
      <w:r w:rsidRPr="00CC7935">
        <w:rPr>
          <w:rFonts w:ascii="Times New Roman" w:hAnsi="Times New Roman" w:cs="Times New Roman"/>
          <w:sz w:val="24"/>
          <w:szCs w:val="24"/>
        </w:rPr>
        <w:t>，或，转出基金固定申购费金额</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转入金额</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转出金额－基金转换申购补差费</w:t>
      </w:r>
    </w:p>
    <w:p w:rsidR="00A977DF" w:rsidRPr="00CC7935" w:rsidRDefault="00A977DF" w:rsidP="00CC7935">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转入份额</w:t>
      </w:r>
      <w:r w:rsidR="00C565C3" w:rsidRPr="00CC7935">
        <w:rPr>
          <w:rFonts w:ascii="Times New Roman" w:hAnsi="Times New Roman" w:cs="Times New Roman"/>
          <w:sz w:val="24"/>
          <w:szCs w:val="24"/>
        </w:rPr>
        <w:t>＝</w:t>
      </w:r>
      <w:r w:rsidRPr="00CC7935">
        <w:rPr>
          <w:rFonts w:ascii="Times New Roman" w:hAnsi="Times New Roman" w:cs="Times New Roman"/>
          <w:sz w:val="24"/>
          <w:szCs w:val="24"/>
        </w:rPr>
        <w:t>转入金额</w:t>
      </w:r>
      <w:r w:rsidRPr="00CC7935">
        <w:rPr>
          <w:rFonts w:ascii="Times New Roman" w:hAnsi="Times New Roman" w:cs="Times New Roman"/>
          <w:sz w:val="24"/>
          <w:szCs w:val="24"/>
        </w:rPr>
        <w:t>÷</w:t>
      </w:r>
      <w:r w:rsidRPr="00CC7935">
        <w:rPr>
          <w:rFonts w:ascii="Times New Roman" w:hAnsi="Times New Roman" w:cs="Times New Roman"/>
          <w:sz w:val="24"/>
          <w:szCs w:val="24"/>
        </w:rPr>
        <w:t>转入基金当日基金份额净值</w:t>
      </w:r>
    </w:p>
    <w:p w:rsidR="00A977DF"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转入份额的计算结果四舍五入保留到小数点后两位，由此产生的误差计入基金资产。</w:t>
      </w:r>
    </w:p>
    <w:p w:rsidR="00C565C3" w:rsidRPr="00111A11" w:rsidRDefault="00C565C3" w:rsidP="000D55FF">
      <w:pPr>
        <w:spacing w:line="360" w:lineRule="auto"/>
        <w:rPr>
          <w:rFonts w:ascii="Times New Roman" w:hAnsi="Times New Roman" w:cs="Times New Roman"/>
          <w:sz w:val="24"/>
          <w:szCs w:val="24"/>
        </w:rPr>
      </w:pPr>
    </w:p>
    <w:p w:rsidR="00C565C3"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四、业务办理时间</w:t>
      </w:r>
    </w:p>
    <w:p w:rsidR="00C565C3" w:rsidRPr="00CC7935" w:rsidRDefault="00A977DF" w:rsidP="00563471">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本业务的办理时间为上海证券交易所和深圳证券交易所</w:t>
      </w:r>
      <w:r w:rsidR="00563471">
        <w:rPr>
          <w:rFonts w:ascii="Times New Roman" w:hAnsi="Times New Roman" w:cs="Times New Roman" w:hint="eastAsia"/>
          <w:sz w:val="24"/>
          <w:szCs w:val="24"/>
        </w:rPr>
        <w:t>的</w:t>
      </w:r>
      <w:r w:rsidR="00563471" w:rsidRPr="00563471">
        <w:rPr>
          <w:rFonts w:ascii="Times New Roman" w:hAnsi="Times New Roman" w:cs="Times New Roman" w:hint="eastAsia"/>
          <w:sz w:val="24"/>
          <w:szCs w:val="24"/>
        </w:rPr>
        <w:t>正常交易日的交易时间</w:t>
      </w:r>
      <w:r w:rsidR="00563471" w:rsidRPr="00174BC7">
        <w:rPr>
          <w:rFonts w:ascii="Times New Roman" w:hAnsi="Times New Roman" w:cs="Times New Roman" w:hint="eastAsia"/>
          <w:sz w:val="24"/>
          <w:szCs w:val="24"/>
        </w:rPr>
        <w:t>，但基金管理人根据法律法规、中国证监会的要求或基金合同的规定公告暂停申购、赎回</w:t>
      </w:r>
      <w:r w:rsidR="00142D48">
        <w:rPr>
          <w:rFonts w:ascii="Times New Roman" w:hAnsi="Times New Roman" w:cs="Times New Roman" w:hint="eastAsia"/>
          <w:sz w:val="24"/>
          <w:szCs w:val="24"/>
        </w:rPr>
        <w:t>等业务</w:t>
      </w:r>
      <w:r w:rsidR="00563471" w:rsidRPr="00174BC7">
        <w:rPr>
          <w:rFonts w:ascii="Times New Roman" w:hAnsi="Times New Roman" w:cs="Times New Roman" w:hint="eastAsia"/>
          <w:sz w:val="24"/>
          <w:szCs w:val="24"/>
        </w:rPr>
        <w:t>时除外。</w:t>
      </w:r>
      <w:r w:rsidRPr="00CC7935">
        <w:rPr>
          <w:rFonts w:ascii="Times New Roman" w:hAnsi="Times New Roman" w:cs="Times New Roman"/>
          <w:sz w:val="24"/>
          <w:szCs w:val="24"/>
        </w:rPr>
        <w:t>投资者可以在上述基金的开放期内，到上述基金的销售机构咨询和办理本业务。</w:t>
      </w:r>
    </w:p>
    <w:p w:rsidR="004F40F0" w:rsidRPr="004F40F0" w:rsidRDefault="004F40F0" w:rsidP="00FE6585">
      <w:pPr>
        <w:spacing w:line="360" w:lineRule="auto"/>
        <w:rPr>
          <w:rFonts w:ascii="Times New Roman" w:hAnsi="Times New Roman" w:cs="Times New Roman"/>
          <w:sz w:val="24"/>
          <w:szCs w:val="24"/>
        </w:rPr>
      </w:pPr>
    </w:p>
    <w:p w:rsidR="00C565C3" w:rsidRPr="00CC7935" w:rsidRDefault="00FE6585" w:rsidP="00A977DF">
      <w:pPr>
        <w:spacing w:line="360" w:lineRule="auto"/>
        <w:ind w:firstLineChars="202" w:firstLine="485"/>
        <w:rPr>
          <w:rFonts w:ascii="Times New Roman" w:hAnsi="Times New Roman" w:cs="Times New Roman"/>
          <w:sz w:val="24"/>
          <w:szCs w:val="24"/>
        </w:rPr>
      </w:pPr>
      <w:r w:rsidRPr="00FE6585">
        <w:rPr>
          <w:rFonts w:ascii="Times New Roman" w:hAnsi="Times New Roman" w:cs="Times New Roman" w:hint="eastAsia"/>
          <w:sz w:val="24"/>
          <w:szCs w:val="24"/>
        </w:rPr>
        <w:t>本公司若暂停办理该业务，将另行发</w:t>
      </w:r>
      <w:r>
        <w:rPr>
          <w:rFonts w:ascii="Times New Roman" w:hAnsi="Times New Roman" w:cs="Times New Roman" w:hint="eastAsia"/>
          <w:sz w:val="24"/>
          <w:szCs w:val="24"/>
        </w:rPr>
        <w:t>布公告。</w:t>
      </w:r>
      <w:r w:rsidR="00A977DF" w:rsidRPr="00CC7935">
        <w:rPr>
          <w:rFonts w:ascii="Times New Roman" w:hAnsi="Times New Roman" w:cs="Times New Roman"/>
          <w:sz w:val="24"/>
          <w:szCs w:val="24"/>
        </w:rPr>
        <w:t>投资者可登录本</w:t>
      </w:r>
      <w:r w:rsidR="008F4A92" w:rsidRPr="00FE6585">
        <w:rPr>
          <w:rFonts w:ascii="Times New Roman" w:hAnsi="Times New Roman" w:cs="Times New Roman" w:hint="eastAsia"/>
          <w:sz w:val="24"/>
          <w:szCs w:val="24"/>
        </w:rPr>
        <w:t>公司</w:t>
      </w:r>
      <w:r w:rsidR="00A977DF" w:rsidRPr="00CC7935">
        <w:rPr>
          <w:rFonts w:ascii="Times New Roman" w:hAnsi="Times New Roman" w:cs="Times New Roman"/>
          <w:sz w:val="24"/>
          <w:szCs w:val="24"/>
        </w:rPr>
        <w:t>网站（</w:t>
      </w:r>
      <w:r w:rsidR="00BB7CA8" w:rsidRPr="00CC7935">
        <w:rPr>
          <w:rFonts w:ascii="Times New Roman" w:hAnsi="Times New Roman" w:cs="Times New Roman"/>
          <w:sz w:val="24"/>
          <w:szCs w:val="24"/>
        </w:rPr>
        <w:t>www.huaan.com.cn</w:t>
      </w:r>
      <w:r w:rsidR="00A977DF" w:rsidRPr="00CC7935">
        <w:rPr>
          <w:rFonts w:ascii="Times New Roman" w:hAnsi="Times New Roman" w:cs="Times New Roman"/>
          <w:sz w:val="24"/>
          <w:szCs w:val="24"/>
        </w:rPr>
        <w:t>）或拨打本</w:t>
      </w:r>
      <w:r w:rsidR="008F4A92" w:rsidRPr="00FE6585">
        <w:rPr>
          <w:rFonts w:ascii="Times New Roman" w:hAnsi="Times New Roman" w:cs="Times New Roman" w:hint="eastAsia"/>
          <w:sz w:val="24"/>
          <w:szCs w:val="24"/>
        </w:rPr>
        <w:t>公司</w:t>
      </w:r>
      <w:r w:rsidR="00A977DF" w:rsidRPr="00CC7935">
        <w:rPr>
          <w:rFonts w:ascii="Times New Roman" w:hAnsi="Times New Roman" w:cs="Times New Roman"/>
          <w:sz w:val="24"/>
          <w:szCs w:val="24"/>
        </w:rPr>
        <w:t>客户服务电话（</w:t>
      </w:r>
      <w:r w:rsidR="00A977DF" w:rsidRPr="00CC7935">
        <w:rPr>
          <w:rFonts w:ascii="Times New Roman" w:hAnsi="Times New Roman" w:cs="Times New Roman"/>
          <w:sz w:val="24"/>
          <w:szCs w:val="24"/>
        </w:rPr>
        <w:t>40088-50099</w:t>
      </w:r>
      <w:r w:rsidR="00A977DF" w:rsidRPr="00CC7935">
        <w:rPr>
          <w:rFonts w:ascii="Times New Roman" w:hAnsi="Times New Roman" w:cs="Times New Roman"/>
          <w:sz w:val="24"/>
          <w:szCs w:val="24"/>
        </w:rPr>
        <w:t>）获取相关信息。</w:t>
      </w:r>
    </w:p>
    <w:p w:rsidR="00784AF2" w:rsidRPr="00784AF2" w:rsidRDefault="00784AF2" w:rsidP="00784AF2">
      <w:pPr>
        <w:spacing w:line="360" w:lineRule="auto"/>
        <w:ind w:firstLineChars="200" w:firstLine="480"/>
        <w:jc w:val="left"/>
        <w:rPr>
          <w:rFonts w:ascii="Times New Roman" w:hAnsi="Times New Roman" w:cs="Times New Roman"/>
          <w:sz w:val="24"/>
          <w:szCs w:val="24"/>
        </w:rPr>
      </w:pPr>
      <w:r w:rsidRPr="00784AF2">
        <w:rPr>
          <w:rFonts w:ascii="Times New Roman" w:hAnsi="Times New Roman" w:cs="Times New Roman" w:hint="eastAsia"/>
          <w:sz w:val="24"/>
          <w:szCs w:val="24"/>
        </w:rPr>
        <w:t>风险提示：</w:t>
      </w:r>
      <w:r w:rsidRPr="00784AF2">
        <w:rPr>
          <w:rFonts w:ascii="Times New Roman" w:hAnsi="Times New Roman" w:cs="Times New Roman"/>
          <w:sz w:val="24"/>
          <w:szCs w:val="24"/>
        </w:rPr>
        <w:t>本公司承诺以诚实信用、勤勉尽责的原则管理和运用基金资产，</w:t>
      </w:r>
      <w:r w:rsidRPr="00784AF2">
        <w:rPr>
          <w:rFonts w:ascii="Times New Roman" w:hAnsi="Times New Roman" w:cs="Times New Roman"/>
          <w:sz w:val="24"/>
          <w:szCs w:val="24"/>
        </w:rPr>
        <w:t xml:space="preserve"> </w:t>
      </w:r>
      <w:r w:rsidRPr="00784AF2">
        <w:rPr>
          <w:rFonts w:ascii="Times New Roman" w:hAnsi="Times New Roman" w:cs="Times New Roman"/>
          <w:sz w:val="24"/>
          <w:szCs w:val="24"/>
        </w:rPr>
        <w:t>但不保证基金一定盈利，也不保证最低收益。投资者投资于本公司管理的基金时应认真阅读基金合同、招募说明书等法律文件，并注意投资风险。</w:t>
      </w:r>
    </w:p>
    <w:p w:rsidR="00C565C3" w:rsidRPr="00784AF2" w:rsidRDefault="00C565C3" w:rsidP="00A977DF">
      <w:pPr>
        <w:spacing w:line="360" w:lineRule="auto"/>
        <w:ind w:firstLineChars="202" w:firstLine="485"/>
        <w:rPr>
          <w:rFonts w:ascii="Times New Roman" w:hAnsi="Times New Roman" w:cs="Times New Roman"/>
          <w:sz w:val="24"/>
          <w:szCs w:val="24"/>
        </w:rPr>
      </w:pPr>
    </w:p>
    <w:p w:rsidR="00C565C3" w:rsidRPr="00CC7935" w:rsidRDefault="00A977DF" w:rsidP="00A977DF">
      <w:pPr>
        <w:spacing w:line="360" w:lineRule="auto"/>
        <w:ind w:firstLineChars="202" w:firstLine="485"/>
        <w:rPr>
          <w:rFonts w:ascii="Times New Roman" w:hAnsi="Times New Roman" w:cs="Times New Roman"/>
          <w:sz w:val="24"/>
          <w:szCs w:val="24"/>
        </w:rPr>
      </w:pPr>
      <w:r w:rsidRPr="00CC7935">
        <w:rPr>
          <w:rFonts w:ascii="Times New Roman" w:hAnsi="Times New Roman" w:cs="Times New Roman"/>
          <w:sz w:val="24"/>
          <w:szCs w:val="24"/>
        </w:rPr>
        <w:t>特此公告。</w:t>
      </w:r>
    </w:p>
    <w:p w:rsidR="00CC7935" w:rsidRPr="00CC7935" w:rsidRDefault="00CC7935" w:rsidP="00A977DF">
      <w:pPr>
        <w:spacing w:line="360" w:lineRule="auto"/>
        <w:ind w:firstLineChars="202" w:firstLine="485"/>
        <w:rPr>
          <w:rFonts w:ascii="Times New Roman" w:hAnsi="Times New Roman" w:cs="Times New Roman"/>
          <w:sz w:val="24"/>
          <w:szCs w:val="24"/>
        </w:rPr>
      </w:pPr>
    </w:p>
    <w:p w:rsidR="00C565C3" w:rsidRPr="00CC7935" w:rsidRDefault="00A977DF" w:rsidP="00C565C3">
      <w:pPr>
        <w:spacing w:line="360" w:lineRule="auto"/>
        <w:ind w:firstLineChars="202" w:firstLine="485"/>
        <w:jc w:val="right"/>
        <w:rPr>
          <w:rFonts w:ascii="Times New Roman" w:hAnsi="Times New Roman" w:cs="Times New Roman"/>
          <w:sz w:val="24"/>
          <w:szCs w:val="24"/>
        </w:rPr>
      </w:pPr>
      <w:r w:rsidRPr="00CC7935">
        <w:rPr>
          <w:rFonts w:ascii="Times New Roman" w:hAnsi="Times New Roman" w:cs="Times New Roman"/>
          <w:sz w:val="24"/>
          <w:szCs w:val="24"/>
        </w:rPr>
        <w:t>华安基金管理有限公司</w:t>
      </w:r>
    </w:p>
    <w:p w:rsidR="00B835FD" w:rsidRPr="00CC7935" w:rsidRDefault="00E666E2" w:rsidP="00C565C3">
      <w:pPr>
        <w:spacing w:line="360" w:lineRule="auto"/>
        <w:ind w:firstLineChars="202" w:firstLine="485"/>
        <w:jc w:val="right"/>
        <w:rPr>
          <w:rFonts w:ascii="Times New Roman" w:hAnsi="Times New Roman" w:cs="Times New Roman"/>
          <w:sz w:val="24"/>
          <w:szCs w:val="24"/>
        </w:rPr>
      </w:pPr>
      <w:r w:rsidRPr="00CC7935">
        <w:rPr>
          <w:rFonts w:ascii="Times New Roman" w:hAnsi="Times New Roman" w:cs="Times New Roman"/>
          <w:sz w:val="24"/>
          <w:szCs w:val="24"/>
        </w:rPr>
        <w:t>202</w:t>
      </w:r>
      <w:r w:rsidR="00FA2CE3">
        <w:rPr>
          <w:rFonts w:ascii="Times New Roman" w:hAnsi="Times New Roman" w:cs="Times New Roman"/>
          <w:sz w:val="24"/>
          <w:szCs w:val="24"/>
        </w:rPr>
        <w:t>5</w:t>
      </w:r>
      <w:r w:rsidRPr="00CC7935">
        <w:rPr>
          <w:rFonts w:ascii="Times New Roman" w:hAnsi="Times New Roman" w:cs="Times New Roman"/>
          <w:sz w:val="24"/>
          <w:szCs w:val="24"/>
        </w:rPr>
        <w:t>年</w:t>
      </w:r>
      <w:r w:rsidR="006F4783">
        <w:rPr>
          <w:rFonts w:ascii="Times New Roman" w:hAnsi="Times New Roman" w:cs="Times New Roman"/>
          <w:sz w:val="24"/>
          <w:szCs w:val="24"/>
        </w:rPr>
        <w:t>12</w:t>
      </w:r>
      <w:r w:rsidR="00A977DF" w:rsidRPr="00CC7935">
        <w:rPr>
          <w:rFonts w:ascii="Times New Roman" w:hAnsi="Times New Roman" w:cs="Times New Roman"/>
          <w:sz w:val="24"/>
          <w:szCs w:val="24"/>
        </w:rPr>
        <w:t>月</w:t>
      </w:r>
      <w:r w:rsidR="0010181B">
        <w:rPr>
          <w:rFonts w:ascii="Times New Roman" w:hAnsi="Times New Roman" w:cs="Times New Roman"/>
          <w:sz w:val="24"/>
          <w:szCs w:val="24"/>
        </w:rPr>
        <w:t>22</w:t>
      </w:r>
      <w:r w:rsidR="00A977DF" w:rsidRPr="00CC7935">
        <w:rPr>
          <w:rFonts w:ascii="Times New Roman" w:hAnsi="Times New Roman" w:cs="Times New Roman"/>
          <w:sz w:val="24"/>
          <w:szCs w:val="24"/>
        </w:rPr>
        <w:t>日</w:t>
      </w:r>
    </w:p>
    <w:sectPr w:rsidR="00B835FD" w:rsidRPr="00CC7935" w:rsidSect="00182B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CF3" w:rsidRDefault="00635CF3" w:rsidP="008723F6">
      <w:r>
        <w:separator/>
      </w:r>
    </w:p>
  </w:endnote>
  <w:endnote w:type="continuationSeparator" w:id="0">
    <w:p w:rsidR="00635CF3" w:rsidRDefault="00635CF3" w:rsidP="00872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CF3" w:rsidRDefault="00635CF3" w:rsidP="008723F6">
      <w:r>
        <w:separator/>
      </w:r>
    </w:p>
  </w:footnote>
  <w:footnote w:type="continuationSeparator" w:id="0">
    <w:p w:rsidR="00635CF3" w:rsidRDefault="00635CF3" w:rsidP="008723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7DF"/>
    <w:rsid w:val="0001647F"/>
    <w:rsid w:val="00051EF9"/>
    <w:rsid w:val="000760A2"/>
    <w:rsid w:val="000D55FF"/>
    <w:rsid w:val="000E568D"/>
    <w:rsid w:val="000F3065"/>
    <w:rsid w:val="0010181B"/>
    <w:rsid w:val="00111A11"/>
    <w:rsid w:val="0012174D"/>
    <w:rsid w:val="00127E43"/>
    <w:rsid w:val="00142D48"/>
    <w:rsid w:val="00174BC7"/>
    <w:rsid w:val="00182B84"/>
    <w:rsid w:val="001B2008"/>
    <w:rsid w:val="001B50BB"/>
    <w:rsid w:val="001E6E40"/>
    <w:rsid w:val="001F7083"/>
    <w:rsid w:val="00231B7D"/>
    <w:rsid w:val="00242426"/>
    <w:rsid w:val="00273AE7"/>
    <w:rsid w:val="002A5997"/>
    <w:rsid w:val="00304D89"/>
    <w:rsid w:val="00330B5D"/>
    <w:rsid w:val="003855DD"/>
    <w:rsid w:val="003E12BB"/>
    <w:rsid w:val="003E61FB"/>
    <w:rsid w:val="003F0598"/>
    <w:rsid w:val="003F5183"/>
    <w:rsid w:val="00436370"/>
    <w:rsid w:val="00477B3C"/>
    <w:rsid w:val="004F0CF9"/>
    <w:rsid w:val="004F1131"/>
    <w:rsid w:val="004F40F0"/>
    <w:rsid w:val="004F6D42"/>
    <w:rsid w:val="005352DC"/>
    <w:rsid w:val="00560F20"/>
    <w:rsid w:val="00563471"/>
    <w:rsid w:val="005A1A3C"/>
    <w:rsid w:val="005A2653"/>
    <w:rsid w:val="005B2315"/>
    <w:rsid w:val="005D4446"/>
    <w:rsid w:val="005E075F"/>
    <w:rsid w:val="00615483"/>
    <w:rsid w:val="00627007"/>
    <w:rsid w:val="00635CF3"/>
    <w:rsid w:val="006409E1"/>
    <w:rsid w:val="006674BA"/>
    <w:rsid w:val="00697AE9"/>
    <w:rsid w:val="006D3467"/>
    <w:rsid w:val="006F4783"/>
    <w:rsid w:val="00736194"/>
    <w:rsid w:val="00784AF2"/>
    <w:rsid w:val="007B64AA"/>
    <w:rsid w:val="007D04A2"/>
    <w:rsid w:val="007E380B"/>
    <w:rsid w:val="008140B9"/>
    <w:rsid w:val="0082572C"/>
    <w:rsid w:val="00842ACD"/>
    <w:rsid w:val="008667D8"/>
    <w:rsid w:val="008723F6"/>
    <w:rsid w:val="00875609"/>
    <w:rsid w:val="008878E3"/>
    <w:rsid w:val="00895A46"/>
    <w:rsid w:val="008A116B"/>
    <w:rsid w:val="008A3864"/>
    <w:rsid w:val="008E49A1"/>
    <w:rsid w:val="008E7053"/>
    <w:rsid w:val="008F4A92"/>
    <w:rsid w:val="009152D1"/>
    <w:rsid w:val="00923002"/>
    <w:rsid w:val="009A1F15"/>
    <w:rsid w:val="009C25EA"/>
    <w:rsid w:val="009D02D5"/>
    <w:rsid w:val="00A3447A"/>
    <w:rsid w:val="00A4175E"/>
    <w:rsid w:val="00A81508"/>
    <w:rsid w:val="00A977DF"/>
    <w:rsid w:val="00B52F2C"/>
    <w:rsid w:val="00B835FD"/>
    <w:rsid w:val="00BB7CA8"/>
    <w:rsid w:val="00BC6D86"/>
    <w:rsid w:val="00C17864"/>
    <w:rsid w:val="00C32A9A"/>
    <w:rsid w:val="00C52C41"/>
    <w:rsid w:val="00C565C3"/>
    <w:rsid w:val="00C60548"/>
    <w:rsid w:val="00C86F02"/>
    <w:rsid w:val="00CA6EE4"/>
    <w:rsid w:val="00CC7935"/>
    <w:rsid w:val="00CD5B46"/>
    <w:rsid w:val="00D0400C"/>
    <w:rsid w:val="00D411F1"/>
    <w:rsid w:val="00D476B5"/>
    <w:rsid w:val="00D60720"/>
    <w:rsid w:val="00DB4E68"/>
    <w:rsid w:val="00DD6816"/>
    <w:rsid w:val="00DF6CDF"/>
    <w:rsid w:val="00E335D6"/>
    <w:rsid w:val="00E3399D"/>
    <w:rsid w:val="00E666E2"/>
    <w:rsid w:val="00ED1A7E"/>
    <w:rsid w:val="00ED5367"/>
    <w:rsid w:val="00EE2D61"/>
    <w:rsid w:val="00F06A1E"/>
    <w:rsid w:val="00F27060"/>
    <w:rsid w:val="00F74AA5"/>
    <w:rsid w:val="00FA2CE3"/>
    <w:rsid w:val="00FA68EE"/>
    <w:rsid w:val="00FE6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61FB"/>
    <w:rPr>
      <w:sz w:val="18"/>
      <w:szCs w:val="18"/>
    </w:rPr>
  </w:style>
  <w:style w:type="character" w:customStyle="1" w:styleId="Char">
    <w:name w:val="批注框文本 Char"/>
    <w:basedOn w:val="a0"/>
    <w:link w:val="a3"/>
    <w:uiPriority w:val="99"/>
    <w:semiHidden/>
    <w:rsid w:val="003E61FB"/>
    <w:rPr>
      <w:sz w:val="18"/>
      <w:szCs w:val="18"/>
    </w:rPr>
  </w:style>
  <w:style w:type="paragraph" w:styleId="a4">
    <w:name w:val="header"/>
    <w:basedOn w:val="a"/>
    <w:link w:val="Char0"/>
    <w:uiPriority w:val="99"/>
    <w:unhideWhenUsed/>
    <w:rsid w:val="008723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723F6"/>
    <w:rPr>
      <w:sz w:val="18"/>
      <w:szCs w:val="18"/>
    </w:rPr>
  </w:style>
  <w:style w:type="paragraph" w:styleId="a5">
    <w:name w:val="footer"/>
    <w:basedOn w:val="a"/>
    <w:link w:val="Char1"/>
    <w:uiPriority w:val="99"/>
    <w:unhideWhenUsed/>
    <w:rsid w:val="008723F6"/>
    <w:pPr>
      <w:tabs>
        <w:tab w:val="center" w:pos="4153"/>
        <w:tab w:val="right" w:pos="8306"/>
      </w:tabs>
      <w:snapToGrid w:val="0"/>
      <w:jc w:val="left"/>
    </w:pPr>
    <w:rPr>
      <w:sz w:val="18"/>
      <w:szCs w:val="18"/>
    </w:rPr>
  </w:style>
  <w:style w:type="character" w:customStyle="1" w:styleId="Char1">
    <w:name w:val="页脚 Char"/>
    <w:basedOn w:val="a0"/>
    <w:link w:val="a5"/>
    <w:uiPriority w:val="99"/>
    <w:rsid w:val="008723F6"/>
    <w:rPr>
      <w:sz w:val="18"/>
      <w:szCs w:val="18"/>
    </w:rPr>
  </w:style>
  <w:style w:type="character" w:styleId="a6">
    <w:name w:val="annotation reference"/>
    <w:basedOn w:val="a0"/>
    <w:uiPriority w:val="99"/>
    <w:semiHidden/>
    <w:unhideWhenUsed/>
    <w:rsid w:val="00CC7935"/>
    <w:rPr>
      <w:sz w:val="21"/>
      <w:szCs w:val="21"/>
    </w:rPr>
  </w:style>
  <w:style w:type="paragraph" w:styleId="a7">
    <w:name w:val="annotation text"/>
    <w:basedOn w:val="a"/>
    <w:link w:val="Char2"/>
    <w:uiPriority w:val="99"/>
    <w:semiHidden/>
    <w:unhideWhenUsed/>
    <w:rsid w:val="00CC7935"/>
    <w:pPr>
      <w:jc w:val="left"/>
    </w:pPr>
  </w:style>
  <w:style w:type="character" w:customStyle="1" w:styleId="Char2">
    <w:name w:val="批注文字 Char"/>
    <w:basedOn w:val="a0"/>
    <w:link w:val="a7"/>
    <w:uiPriority w:val="99"/>
    <w:semiHidden/>
    <w:rsid w:val="00CC7935"/>
  </w:style>
  <w:style w:type="paragraph" w:styleId="a8">
    <w:name w:val="annotation subject"/>
    <w:basedOn w:val="a7"/>
    <w:next w:val="a7"/>
    <w:link w:val="Char3"/>
    <w:uiPriority w:val="99"/>
    <w:semiHidden/>
    <w:unhideWhenUsed/>
    <w:rsid w:val="00CC7935"/>
    <w:rPr>
      <w:b/>
      <w:bCs/>
    </w:rPr>
  </w:style>
  <w:style w:type="character" w:customStyle="1" w:styleId="Char3">
    <w:name w:val="批注主题 Char"/>
    <w:basedOn w:val="Char2"/>
    <w:link w:val="a8"/>
    <w:uiPriority w:val="99"/>
    <w:semiHidden/>
    <w:rsid w:val="00CC7935"/>
    <w:rPr>
      <w:b/>
      <w:bCs/>
    </w:rPr>
  </w:style>
  <w:style w:type="character" w:styleId="a9">
    <w:name w:val="Hyperlink"/>
    <w:basedOn w:val="a0"/>
    <w:uiPriority w:val="99"/>
    <w:unhideWhenUsed/>
    <w:rsid w:val="0001647F"/>
    <w:rPr>
      <w:color w:val="0000FF" w:themeColor="hyperlink"/>
      <w:u w:val="single"/>
    </w:rPr>
  </w:style>
  <w:style w:type="table" w:customStyle="1" w:styleId="TableNormal">
    <w:name w:val="Table Normal"/>
    <w:uiPriority w:val="2"/>
    <w:semiHidden/>
    <w:unhideWhenUsed/>
    <w:qFormat/>
    <w:rsid w:val="008667D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67D8"/>
    <w:pPr>
      <w:autoSpaceDE w:val="0"/>
      <w:autoSpaceDN w:val="0"/>
      <w:spacing w:before="95"/>
      <w:ind w:left="11" w:right="2"/>
      <w:jc w:val="center"/>
    </w:pPr>
    <w:rPr>
      <w:rFonts w:ascii="宋体" w:eastAsia="宋体" w:hAnsi="宋体" w:cs="宋体"/>
      <w:kern w:val="0"/>
      <w:sz w:val="22"/>
    </w:rPr>
  </w:style>
  <w:style w:type="table" w:styleId="aa">
    <w:name w:val="Table Grid"/>
    <w:basedOn w:val="a1"/>
    <w:uiPriority w:val="39"/>
    <w:rsid w:val="00FA2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24338">
      <w:bodyDiv w:val="1"/>
      <w:marLeft w:val="0"/>
      <w:marRight w:val="0"/>
      <w:marTop w:val="0"/>
      <w:marBottom w:val="0"/>
      <w:divBdr>
        <w:top w:val="none" w:sz="0" w:space="0" w:color="auto"/>
        <w:left w:val="none" w:sz="0" w:space="0" w:color="auto"/>
        <w:bottom w:val="none" w:sz="0" w:space="0" w:color="auto"/>
        <w:right w:val="none" w:sz="0" w:space="0" w:color="auto"/>
      </w:divBdr>
    </w:div>
    <w:div w:id="62450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024B-2913-4E1B-8647-B79DAA1A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1853</Characters>
  <Application>Microsoft Office Word</Application>
  <DocSecurity>4</DocSecurity>
  <Lines>15</Lines>
  <Paragraphs>4</Paragraphs>
  <ScaleCrop>false</ScaleCrop>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H00912</dc:creator>
  <cp:lastModifiedBy>ZHONGM</cp:lastModifiedBy>
  <cp:revision>2</cp:revision>
  <cp:lastPrinted>2025-03-07T05:40:00Z</cp:lastPrinted>
  <dcterms:created xsi:type="dcterms:W3CDTF">2025-12-21T16:01:00Z</dcterms:created>
  <dcterms:modified xsi:type="dcterms:W3CDTF">2025-12-21T16:01:00Z</dcterms:modified>
</cp:coreProperties>
</file>