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C6" w:rsidRPr="007970E3" w:rsidRDefault="009C2358" w:rsidP="00646673">
      <w:pPr>
        <w:widowControl w:val="0"/>
        <w:spacing w:line="360" w:lineRule="auto"/>
        <w:jc w:val="center"/>
        <w:rPr>
          <w:rFonts w:ascii="Times New Roman" w:eastAsia="宋体" w:hAnsi="Times New Roman"/>
          <w:b/>
          <w:kern w:val="2"/>
          <w:sz w:val="24"/>
          <w:lang w:eastAsia="zh-CN"/>
        </w:rPr>
      </w:pPr>
      <w:r w:rsidRPr="009C2358">
        <w:rPr>
          <w:rFonts w:ascii="Times New Roman" w:eastAsia="宋体" w:hAnsi="Times New Roman" w:hint="eastAsia"/>
          <w:b/>
          <w:kern w:val="2"/>
          <w:sz w:val="24"/>
          <w:lang w:eastAsia="zh-CN"/>
        </w:rPr>
        <w:t>国联安基金管理有限公司关于旗下</w:t>
      </w:r>
      <w:r w:rsidR="00C625EF">
        <w:rPr>
          <w:rFonts w:ascii="Times New Roman" w:eastAsia="宋体" w:hAnsi="Times New Roman" w:hint="eastAsia"/>
          <w:b/>
          <w:kern w:val="2"/>
          <w:sz w:val="24"/>
          <w:lang w:eastAsia="zh-CN"/>
        </w:rPr>
        <w:t>部分</w:t>
      </w:r>
      <w:r w:rsidR="007D7FED" w:rsidRPr="007D7FED">
        <w:rPr>
          <w:rFonts w:ascii="Times New Roman" w:eastAsia="宋体" w:hAnsi="Times New Roman" w:hint="eastAsia"/>
          <w:b/>
          <w:kern w:val="2"/>
          <w:sz w:val="24"/>
          <w:lang w:eastAsia="zh-CN"/>
        </w:rPr>
        <w:t>基金</w:t>
      </w:r>
      <w:r w:rsidR="007A7AC6" w:rsidRPr="007970E3">
        <w:rPr>
          <w:rFonts w:ascii="Times New Roman" w:eastAsia="宋体" w:hAnsi="Times New Roman" w:hint="eastAsia"/>
          <w:b/>
          <w:kern w:val="2"/>
          <w:sz w:val="24"/>
          <w:lang w:eastAsia="zh-CN"/>
        </w:rPr>
        <w:t>增加</w:t>
      </w:r>
      <w:r w:rsidR="0014362F">
        <w:rPr>
          <w:rFonts w:ascii="Times New Roman" w:eastAsia="宋体" w:hAnsi="Times New Roman" w:hint="eastAsia"/>
          <w:b/>
          <w:kern w:val="2"/>
          <w:sz w:val="24"/>
          <w:lang w:eastAsia="zh-CN"/>
        </w:rPr>
        <w:t>华宝</w:t>
      </w:r>
      <w:r w:rsidR="002569C5">
        <w:rPr>
          <w:rFonts w:ascii="Times New Roman" w:eastAsia="宋体" w:hAnsi="Times New Roman" w:hint="eastAsia"/>
          <w:b/>
          <w:kern w:val="2"/>
          <w:sz w:val="24"/>
          <w:lang w:eastAsia="zh-CN"/>
        </w:rPr>
        <w:t>证券</w:t>
      </w:r>
      <w:r w:rsidR="007A7AC6" w:rsidRPr="007970E3">
        <w:rPr>
          <w:rFonts w:ascii="Times New Roman" w:eastAsia="宋体" w:hAnsi="Times New Roman" w:hint="eastAsia"/>
          <w:b/>
          <w:kern w:val="2"/>
          <w:sz w:val="24"/>
          <w:lang w:eastAsia="zh-CN"/>
        </w:rPr>
        <w:t>为基金</w:t>
      </w:r>
      <w:bookmarkStart w:id="0" w:name="_Hlk28000791"/>
      <w:r w:rsidR="007A7AC6" w:rsidRPr="007970E3">
        <w:rPr>
          <w:rFonts w:ascii="Times New Roman" w:eastAsia="宋体" w:hAnsi="Times New Roman" w:hint="eastAsia"/>
          <w:b/>
          <w:kern w:val="2"/>
          <w:sz w:val="24"/>
          <w:lang w:eastAsia="zh-CN"/>
        </w:rPr>
        <w:t>申购赎回代办券商</w:t>
      </w:r>
      <w:bookmarkEnd w:id="0"/>
      <w:r w:rsidR="007A7AC6" w:rsidRPr="007970E3">
        <w:rPr>
          <w:rFonts w:ascii="Times New Roman" w:eastAsia="宋体" w:hAnsi="Times New Roman" w:hint="eastAsia"/>
          <w:b/>
          <w:kern w:val="2"/>
          <w:sz w:val="24"/>
          <w:lang w:eastAsia="zh-CN"/>
        </w:rPr>
        <w:t>的公告</w:t>
      </w:r>
    </w:p>
    <w:p w:rsidR="00357904" w:rsidRPr="00C42BC4" w:rsidRDefault="00357904" w:rsidP="007970E3">
      <w:pPr>
        <w:widowControl w:val="0"/>
        <w:spacing w:line="360" w:lineRule="auto"/>
        <w:ind w:firstLineChars="200" w:firstLine="420"/>
        <w:rPr>
          <w:rFonts w:ascii="Arial" w:eastAsia="宋体" w:hAnsi="Arial" w:cs="Arial"/>
          <w:kern w:val="2"/>
          <w:sz w:val="21"/>
          <w:szCs w:val="21"/>
          <w:lang w:eastAsia="zh-CN"/>
        </w:rPr>
      </w:pPr>
    </w:p>
    <w:p w:rsidR="007A7AC6" w:rsidRPr="007970E3" w:rsidRDefault="007A7AC6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经</w:t>
      </w:r>
      <w:r w:rsid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上海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证券交易所</w:t>
      </w:r>
      <w:r w:rsidR="003E7B08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、深圳</w:t>
      </w:r>
      <w:r w:rsidR="003E7B08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证券交易所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确认，根据国联安基金管理有限公司（以下简称“本公司”）与</w:t>
      </w:r>
      <w:r w:rsidR="0014362F" w:rsidRP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华宝证券股份有限公司</w:t>
      </w:r>
      <w:r w:rsidR="00505BBF" w:rsidRPr="00505BB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（以下简称“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</w:t>
      </w:r>
      <w:bookmarkStart w:id="1" w:name="_GoBack"/>
      <w:bookmarkEnd w:id="1"/>
      <w:r w:rsidR="00505BBF" w:rsidRPr="00505BB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”）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签署的</w:t>
      </w:r>
      <w:r w:rsidR="0072588F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申购、赎回业务代理协议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，本公司决定</w:t>
      </w:r>
      <w:r w:rsidR="0072588F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自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20</w:t>
      </w:r>
      <w:r w:rsidR="0088565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2</w:t>
      </w:r>
      <w:r w:rsidR="00E412C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5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年</w:t>
      </w:r>
      <w:r w:rsidR="00FF6206">
        <w:rPr>
          <w:rFonts w:ascii="Arial" w:eastAsia="宋体" w:hAnsi="Arial" w:cs="Arial"/>
          <w:kern w:val="2"/>
          <w:sz w:val="21"/>
          <w:szCs w:val="21"/>
          <w:lang w:eastAsia="zh-CN"/>
        </w:rPr>
        <w:t>1</w:t>
      </w:r>
      <w:r w:rsidR="0014362F">
        <w:rPr>
          <w:rFonts w:ascii="Arial" w:eastAsia="宋体" w:hAnsi="Arial" w:cs="Arial"/>
          <w:kern w:val="2"/>
          <w:sz w:val="21"/>
          <w:szCs w:val="21"/>
          <w:lang w:eastAsia="zh-CN"/>
        </w:rPr>
        <w:t>2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月</w:t>
      </w:r>
      <w:r w:rsidR="00FF6206">
        <w:rPr>
          <w:rFonts w:ascii="Arial" w:eastAsia="宋体" w:hAnsi="Arial" w:cs="Arial"/>
          <w:kern w:val="2"/>
          <w:sz w:val="21"/>
          <w:szCs w:val="21"/>
          <w:lang w:eastAsia="zh-CN"/>
        </w:rPr>
        <w:t>2</w:t>
      </w:r>
      <w:r w:rsidR="0014362F">
        <w:rPr>
          <w:rFonts w:ascii="Arial" w:eastAsia="宋体" w:hAnsi="Arial" w:cs="Arial"/>
          <w:kern w:val="2"/>
          <w:sz w:val="21"/>
          <w:szCs w:val="21"/>
          <w:lang w:eastAsia="zh-CN"/>
        </w:rPr>
        <w:t>2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日起增加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</w:t>
      </w:r>
      <w:r w:rsidR="00FF6206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为</w:t>
      </w:r>
      <w:bookmarkStart w:id="2" w:name="_Hlk151988173"/>
      <w:r w:rsidR="002569C5" w:rsidRPr="006D634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国联安创业板科技交易型开放式指数证券投资基金</w:t>
      </w:r>
      <w:r w:rsidR="002569C5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（场内简称：</w:t>
      </w:r>
      <w:r w:rsidR="002569C5" w:rsidRPr="00793B5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创科技</w:t>
      </w:r>
      <w:r w:rsidR="002569C5" w:rsidRPr="00793B57">
        <w:rPr>
          <w:rFonts w:ascii="Arial" w:eastAsia="宋体" w:hAnsi="Arial" w:cs="Arial"/>
          <w:kern w:val="2"/>
          <w:sz w:val="21"/>
          <w:szCs w:val="21"/>
          <w:lang w:eastAsia="zh-CN"/>
        </w:rPr>
        <w:t>ETF</w:t>
      </w:r>
      <w:r w:rsidR="002569C5" w:rsidRPr="00793B5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</w:t>
      </w:r>
      <w:r w:rsidR="002569C5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二级市场交易</w:t>
      </w:r>
      <w:r w:rsidR="002569C5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代码：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159777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，一级市场申购、赎回代码：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159777</w:t>
      </w:r>
      <w:r w:rsidR="002569C5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）</w:t>
      </w:r>
      <w:r w:rsidR="002569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</w:t>
      </w:r>
      <w:bookmarkEnd w:id="2"/>
      <w:r w:rsidR="00FF6206" w:rsidRPr="00FF6206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国联安中证</w:t>
      </w:r>
      <w:r w:rsidR="00FF6206" w:rsidRPr="00FF6206">
        <w:rPr>
          <w:rFonts w:ascii="Arial" w:eastAsia="宋体" w:hAnsi="Arial" w:cs="Arial"/>
          <w:kern w:val="2"/>
          <w:sz w:val="21"/>
          <w:szCs w:val="21"/>
          <w:lang w:eastAsia="zh-CN"/>
        </w:rPr>
        <w:t>A500</w:t>
      </w:r>
      <w:r w:rsidR="00FF6206" w:rsidRPr="00FF6206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红利低波动交易型开放式指数证券投资基金</w:t>
      </w:r>
      <w:r w:rsidR="00FF6206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（场内简称：</w:t>
      </w:r>
      <w:r w:rsidR="00FF6206" w:rsidRPr="00FF6206">
        <w:rPr>
          <w:rFonts w:ascii="Arial" w:eastAsia="宋体" w:hAnsi="Arial" w:cs="Arial"/>
          <w:kern w:val="2"/>
          <w:sz w:val="21"/>
          <w:szCs w:val="21"/>
          <w:lang w:eastAsia="zh-CN"/>
        </w:rPr>
        <w:t>A500</w:t>
      </w:r>
      <w:r w:rsidR="00FF6206" w:rsidRPr="00FF6206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红利</w:t>
      </w:r>
      <w:r w:rsidR="00FF6206" w:rsidRPr="00FF6206">
        <w:rPr>
          <w:rFonts w:ascii="Arial" w:eastAsia="宋体" w:hAnsi="Arial" w:cs="Arial"/>
          <w:kern w:val="2"/>
          <w:sz w:val="21"/>
          <w:szCs w:val="21"/>
          <w:lang w:eastAsia="zh-CN"/>
        </w:rPr>
        <w:t>ETF</w:t>
      </w:r>
      <w:r w:rsidR="00FF6206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，二级市场交易代码：</w:t>
      </w:r>
      <w:r w:rsidR="00FF6206" w:rsidRPr="00FF6206">
        <w:rPr>
          <w:rFonts w:ascii="Arial" w:eastAsia="宋体" w:hAnsi="Arial" w:cs="Arial"/>
          <w:kern w:val="2"/>
          <w:sz w:val="21"/>
          <w:szCs w:val="21"/>
          <w:lang w:eastAsia="zh-CN"/>
        </w:rPr>
        <w:t>560570</w:t>
      </w:r>
      <w:r w:rsidR="00FF6206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，一级市场申购、赎回代码：</w:t>
      </w:r>
      <w:r w:rsidR="00FF6206" w:rsidRPr="00FF6206">
        <w:rPr>
          <w:rFonts w:ascii="Arial" w:eastAsia="宋体" w:hAnsi="Arial" w:cs="Arial"/>
          <w:kern w:val="2"/>
          <w:sz w:val="21"/>
          <w:szCs w:val="21"/>
          <w:lang w:eastAsia="zh-CN"/>
        </w:rPr>
        <w:t>560570</w:t>
      </w:r>
      <w:r w:rsidR="00FF6206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）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的申购赎回代办券商。</w:t>
      </w:r>
    </w:p>
    <w:p w:rsidR="007A7AC6" w:rsidRPr="007970E3" w:rsidRDefault="007A7AC6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投资者可通过以下途径咨询有关详情：</w:t>
      </w:r>
    </w:p>
    <w:p w:rsidR="00F812DC" w:rsidRPr="00E90882" w:rsidRDefault="00E90882" w:rsidP="00915DF6">
      <w:pPr>
        <w:widowControl w:val="0"/>
        <w:spacing w:line="360" w:lineRule="auto"/>
        <w:ind w:left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1</w:t>
      </w: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</w:t>
      </w:r>
      <w:r w:rsidR="0014362F" w:rsidRP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华宝证券股份有限公司</w:t>
      </w:r>
      <w:r w:rsidR="003E7258" w:rsidRPr="00E90882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：</w:t>
      </w:r>
    </w:p>
    <w:p w:rsidR="00EB379D" w:rsidRPr="00EB379D" w:rsidRDefault="00A355E9" w:rsidP="00915DF6">
      <w:pPr>
        <w:widowControl w:val="0"/>
        <w:spacing w:line="360" w:lineRule="auto"/>
        <w:ind w:left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客户</w:t>
      </w:r>
      <w:r w:rsidR="00EB379D" w:rsidRPr="00EB379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服务电话：</w:t>
      </w:r>
      <w:r w:rsidR="0014362F" w:rsidRPr="0014362F">
        <w:rPr>
          <w:rFonts w:ascii="Arial" w:eastAsia="宋体" w:hAnsi="Arial" w:cs="Arial"/>
          <w:kern w:val="2"/>
          <w:sz w:val="21"/>
          <w:szCs w:val="21"/>
          <w:lang w:eastAsia="zh-CN"/>
        </w:rPr>
        <w:t>400-820-9898</w:t>
      </w:r>
    </w:p>
    <w:p w:rsidR="00EB379D" w:rsidRDefault="00EB379D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/>
          <w:kern w:val="2"/>
          <w:sz w:val="21"/>
          <w:szCs w:val="21"/>
          <w:lang w:eastAsia="zh-CN"/>
        </w:rPr>
      </w:pPr>
      <w:r w:rsidRPr="00EB379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网址：</w:t>
      </w:r>
      <w:r w:rsidR="0014362F" w:rsidRPr="0014362F">
        <w:rPr>
          <w:rFonts w:ascii="Arial" w:hAnsi="Arial" w:cs="Arial"/>
          <w:szCs w:val="21"/>
        </w:rPr>
        <w:t>https://www.cnhbstock.com</w:t>
      </w:r>
    </w:p>
    <w:p w:rsidR="007A7AC6" w:rsidRPr="007970E3" w:rsidRDefault="00DA0ED2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2</w:t>
      </w:r>
      <w:r w:rsidR="007A7AC6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、国联安基金管理有限公司</w:t>
      </w:r>
      <w:r w:rsidR="003E7258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：</w:t>
      </w:r>
    </w:p>
    <w:p w:rsidR="007A7AC6" w:rsidRPr="007970E3" w:rsidRDefault="007A7AC6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客户服务电话：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021-38784766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400-700-0365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（免长途话费）</w:t>
      </w:r>
    </w:p>
    <w:p w:rsidR="007A7AC6" w:rsidRPr="007970E3" w:rsidRDefault="007A7AC6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网址：</w:t>
      </w:r>
      <w:hyperlink r:id="rId8" w:history="1">
        <w:r w:rsidR="00F812DC" w:rsidRPr="007970E3">
          <w:rPr>
            <w:rFonts w:ascii="Arial" w:eastAsia="宋体" w:hAnsi="Arial" w:hint="eastAsia"/>
            <w:kern w:val="2"/>
            <w:sz w:val="21"/>
            <w:szCs w:val="21"/>
            <w:lang w:eastAsia="zh-CN"/>
          </w:rPr>
          <w:t>www.cpicfunds.com</w:t>
        </w:r>
      </w:hyperlink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 xml:space="preserve"> </w:t>
      </w:r>
    </w:p>
    <w:p w:rsidR="00F812DC" w:rsidRPr="007970E3" w:rsidRDefault="00F812DC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</w:rPr>
      </w:pPr>
    </w:p>
    <w:p w:rsidR="0072588F" w:rsidRPr="007970E3" w:rsidRDefault="0072588F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重要提示：</w:t>
      </w:r>
    </w:p>
    <w:p w:rsidR="0072588F" w:rsidRPr="00FB08EA" w:rsidRDefault="009E7894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1</w:t>
      </w: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</w:t>
      </w:r>
      <w:r w:rsidR="0072588F" w:rsidRPr="00FB08EA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本公告仅就增加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</w:t>
      </w:r>
      <w:r w:rsidR="00BD0F35" w:rsidRPr="00D15D70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</w:t>
      </w:r>
      <w:r w:rsidR="0072588F" w:rsidRPr="00FB08EA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为</w:t>
      </w:r>
      <w:r w:rsidR="007733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本公司旗下部分</w:t>
      </w:r>
      <w:r w:rsidR="007D7FED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</w:t>
      </w:r>
      <w:r w:rsidR="007970E3" w:rsidRPr="00FB08EA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申购赎回代办券商</w:t>
      </w:r>
      <w:r w:rsidR="0072588F" w:rsidRPr="00FB08EA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的事项予以公告。今后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华宝</w:t>
      </w:r>
      <w:r w:rsidR="00BD0F35" w:rsidRPr="00D15D70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证券</w:t>
      </w:r>
      <w:r w:rsidR="0072588F" w:rsidRPr="00FB08EA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若代理本公司旗下其他基金的销售及相关业务，届时将另行公告。</w:t>
      </w:r>
    </w:p>
    <w:p w:rsidR="00FC3E26" w:rsidRPr="00FB08EA" w:rsidRDefault="009E7894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2</w:t>
      </w: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</w:t>
      </w:r>
      <w:r w:rsidR="00FC3E26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投资者办理基金交易等相关业务前，应仔细阅读</w:t>
      </w:r>
      <w:r w:rsidR="003D171E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相关</w:t>
      </w:r>
      <w:r w:rsidR="007D7FED" w:rsidRPr="007D7FED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</w:t>
      </w:r>
      <w:r w:rsidR="00FC3E26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的</w:t>
      </w:r>
      <w:r w:rsidR="00FC3E26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《基金合同》</w:t>
      </w:r>
      <w:r w:rsidR="00FC3E26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、</w:t>
      </w:r>
      <w:r w:rsidR="00FC3E26"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《招募说明书》</w:t>
      </w:r>
      <w:r w:rsidR="00FC3E26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、</w:t>
      </w: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《产品资料概要》、</w:t>
      </w:r>
      <w:r w:rsidR="00FC3E26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风险提示及相关业务规则和操作指南等文件。</w:t>
      </w:r>
    </w:p>
    <w:p w:rsidR="0072588F" w:rsidRPr="007970E3" w:rsidRDefault="00FC3E26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3</w:t>
      </w:r>
      <w:r w:rsidR="0072588F"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、本公告的最终解释权归本公司所有。</w:t>
      </w:r>
    </w:p>
    <w:p w:rsidR="0072588F" w:rsidRPr="007970E3" w:rsidRDefault="0072588F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</w:p>
    <w:p w:rsidR="0072588F" w:rsidRPr="007970E3" w:rsidRDefault="0072588F" w:rsidP="00915DF6">
      <w:pPr>
        <w:widowControl w:val="0"/>
        <w:spacing w:line="360" w:lineRule="auto"/>
        <w:ind w:firstLineChars="200" w:firstLine="420"/>
        <w:jc w:val="both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风险提示：本基金管理人承诺以诚实信用、勤勉尽责的原则管理和运用基金财产，但不保证基金一定盈利，也不保证最低收益。</w:t>
      </w:r>
      <w:r w:rsidR="00C42BC4" w:rsidRPr="00C42BC4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基金的过往业绩并不代表其将来表现</w:t>
      </w:r>
      <w:r w:rsidR="0023479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，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基金管理人管理的其他基金的业绩不构成对</w:t>
      </w:r>
      <w:r w:rsidR="00D3584B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特定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基金业绩表现的保证。销售机构根据法规要求对投资者类别、风险承受能力和基金的风险等级进行划分，并提出适当性匹配意见。投资者在投资基金前应认真阅读《基金合同》</w:t>
      </w:r>
      <w:r w:rsidR="00893A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、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《招募说明书》</w:t>
      </w:r>
      <w:r w:rsidR="00893AC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和《产品资料概要》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等基金法律文件，全面认</w:t>
      </w: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lastRenderedPageBreak/>
        <w:t>识基金产品的风险收益特征，在了解产品情况及听取销售机构适当性意见的基础上，根据自身的风险承受能力、投资期限和投资目标，对基金投资作出独立决策，选择合适的基金产品。</w:t>
      </w:r>
    </w:p>
    <w:p w:rsidR="0072588F" w:rsidRPr="007970E3" w:rsidRDefault="0072588F" w:rsidP="007970E3">
      <w:pPr>
        <w:widowControl w:val="0"/>
        <w:spacing w:line="360" w:lineRule="auto"/>
        <w:ind w:firstLineChars="200" w:firstLine="420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特此公告。</w:t>
      </w:r>
    </w:p>
    <w:p w:rsidR="0072588F" w:rsidRPr="007970E3" w:rsidRDefault="0072588F" w:rsidP="007970E3">
      <w:pPr>
        <w:widowControl w:val="0"/>
        <w:spacing w:line="360" w:lineRule="auto"/>
        <w:ind w:firstLineChars="200" w:firstLine="420"/>
        <w:rPr>
          <w:rFonts w:ascii="Arial" w:eastAsia="宋体" w:hAnsi="Arial" w:cs="Arial"/>
          <w:kern w:val="2"/>
          <w:sz w:val="21"/>
          <w:szCs w:val="21"/>
          <w:lang w:eastAsia="zh-CN"/>
        </w:rPr>
      </w:pPr>
    </w:p>
    <w:p w:rsidR="0072588F" w:rsidRPr="007970E3" w:rsidRDefault="0072588F" w:rsidP="007970E3">
      <w:pPr>
        <w:widowControl w:val="0"/>
        <w:spacing w:line="360" w:lineRule="auto"/>
        <w:ind w:firstLineChars="200" w:firstLine="420"/>
        <w:jc w:val="right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国联安基金管理有限公司</w:t>
      </w:r>
    </w:p>
    <w:p w:rsidR="0072588F" w:rsidRPr="007970E3" w:rsidRDefault="0072588F" w:rsidP="007970E3">
      <w:pPr>
        <w:widowControl w:val="0"/>
        <w:spacing w:line="360" w:lineRule="auto"/>
        <w:ind w:firstLineChars="200" w:firstLine="420"/>
        <w:jc w:val="right"/>
        <w:rPr>
          <w:rFonts w:ascii="Arial" w:eastAsia="宋体" w:hAnsi="Arial" w:cs="Arial"/>
          <w:kern w:val="2"/>
          <w:sz w:val="21"/>
          <w:szCs w:val="21"/>
          <w:lang w:eastAsia="zh-CN"/>
        </w:rPr>
      </w:pPr>
      <w:r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二〇</w:t>
      </w:r>
      <w:r w:rsidR="0088565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二</w:t>
      </w:r>
      <w:r w:rsidR="00E412C7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五</w:t>
      </w:r>
      <w:r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年</w:t>
      </w:r>
      <w:r w:rsidR="00BD0F3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十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二</w:t>
      </w:r>
      <w:r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月</w:t>
      </w:r>
      <w:r w:rsidR="00BD0F35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二十</w:t>
      </w:r>
      <w:r w:rsidR="0014362F">
        <w:rPr>
          <w:rFonts w:ascii="Arial" w:eastAsia="宋体" w:hAnsi="Arial" w:cs="Arial" w:hint="eastAsia"/>
          <w:kern w:val="2"/>
          <w:sz w:val="21"/>
          <w:szCs w:val="21"/>
          <w:lang w:eastAsia="zh-CN"/>
        </w:rPr>
        <w:t>二</w:t>
      </w:r>
      <w:r w:rsidRPr="007970E3">
        <w:rPr>
          <w:rFonts w:ascii="Arial" w:eastAsia="宋体" w:hAnsi="Arial" w:cs="Arial"/>
          <w:kern w:val="2"/>
          <w:sz w:val="21"/>
          <w:szCs w:val="21"/>
          <w:lang w:eastAsia="zh-CN"/>
        </w:rPr>
        <w:t>日</w:t>
      </w:r>
    </w:p>
    <w:p w:rsidR="00146820" w:rsidRPr="007970E3" w:rsidRDefault="00146820" w:rsidP="007970E3">
      <w:pPr>
        <w:widowControl w:val="0"/>
        <w:spacing w:line="360" w:lineRule="auto"/>
        <w:ind w:firstLineChars="200" w:firstLine="420"/>
        <w:rPr>
          <w:rFonts w:ascii="Arial" w:eastAsia="宋体" w:hAnsi="Arial" w:cs="Arial"/>
          <w:kern w:val="2"/>
          <w:sz w:val="21"/>
          <w:szCs w:val="21"/>
          <w:lang w:eastAsia="zh-CN"/>
        </w:rPr>
      </w:pPr>
    </w:p>
    <w:sectPr w:rsidR="00146820" w:rsidRPr="007970E3" w:rsidSect="003F4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268" w:rsidRDefault="00A91268" w:rsidP="00FC3E26">
      <w:r>
        <w:separator/>
      </w:r>
    </w:p>
  </w:endnote>
  <w:endnote w:type="continuationSeparator" w:id="0">
    <w:p w:rsidR="00A91268" w:rsidRDefault="00A91268" w:rsidP="00FC3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Formata Condensed Light">
    <w:altName w:val="Arial Narrow"/>
    <w:charset w:val="00"/>
    <w:family w:val="auto"/>
    <w:pitch w:val="variable"/>
    <w:sig w:usb0="80000027" w:usb1="00000000" w:usb2="00000000" w:usb3="00000000" w:csb0="00000001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268" w:rsidRDefault="00A91268" w:rsidP="00FC3E26">
      <w:r>
        <w:separator/>
      </w:r>
    </w:p>
  </w:footnote>
  <w:footnote w:type="continuationSeparator" w:id="0">
    <w:p w:rsidR="00A91268" w:rsidRDefault="00A91268" w:rsidP="00FC3E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D6F72"/>
    <w:multiLevelType w:val="hybridMultilevel"/>
    <w:tmpl w:val="76BC6A78"/>
    <w:lvl w:ilvl="0" w:tplc="64E8710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2A45F4F"/>
    <w:multiLevelType w:val="hybridMultilevel"/>
    <w:tmpl w:val="660C4EC0"/>
    <w:lvl w:ilvl="0" w:tplc="7630972E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820"/>
    <w:rsid w:val="00065A0A"/>
    <w:rsid w:val="000855CC"/>
    <w:rsid w:val="000D1327"/>
    <w:rsid w:val="000D6899"/>
    <w:rsid w:val="000F5340"/>
    <w:rsid w:val="00116926"/>
    <w:rsid w:val="0014362F"/>
    <w:rsid w:val="00146820"/>
    <w:rsid w:val="001A7762"/>
    <w:rsid w:val="001C3CA4"/>
    <w:rsid w:val="001C6E9E"/>
    <w:rsid w:val="001E7463"/>
    <w:rsid w:val="001F2BE2"/>
    <w:rsid w:val="001F6D61"/>
    <w:rsid w:val="0023479F"/>
    <w:rsid w:val="00234C48"/>
    <w:rsid w:val="002548D5"/>
    <w:rsid w:val="002569C5"/>
    <w:rsid w:val="0028163E"/>
    <w:rsid w:val="00296E58"/>
    <w:rsid w:val="00297585"/>
    <w:rsid w:val="002C285C"/>
    <w:rsid w:val="002E14A4"/>
    <w:rsid w:val="00326AB6"/>
    <w:rsid w:val="0035260C"/>
    <w:rsid w:val="00357904"/>
    <w:rsid w:val="00376583"/>
    <w:rsid w:val="003837D8"/>
    <w:rsid w:val="003877F9"/>
    <w:rsid w:val="0039184A"/>
    <w:rsid w:val="003C6FD9"/>
    <w:rsid w:val="003D171E"/>
    <w:rsid w:val="003E7258"/>
    <w:rsid w:val="003E77BD"/>
    <w:rsid w:val="003E7B08"/>
    <w:rsid w:val="003F4D09"/>
    <w:rsid w:val="0043728A"/>
    <w:rsid w:val="004474B3"/>
    <w:rsid w:val="004566DD"/>
    <w:rsid w:val="00495410"/>
    <w:rsid w:val="004A096E"/>
    <w:rsid w:val="004A39AD"/>
    <w:rsid w:val="004B72E5"/>
    <w:rsid w:val="004C792E"/>
    <w:rsid w:val="004E1EC6"/>
    <w:rsid w:val="004F7092"/>
    <w:rsid w:val="00505BBF"/>
    <w:rsid w:val="0053763C"/>
    <w:rsid w:val="00551405"/>
    <w:rsid w:val="00580DCC"/>
    <w:rsid w:val="005F340E"/>
    <w:rsid w:val="0060637A"/>
    <w:rsid w:val="006303A6"/>
    <w:rsid w:val="006363E5"/>
    <w:rsid w:val="006437E0"/>
    <w:rsid w:val="00646673"/>
    <w:rsid w:val="00650AFA"/>
    <w:rsid w:val="006719E1"/>
    <w:rsid w:val="006D3D01"/>
    <w:rsid w:val="006D6347"/>
    <w:rsid w:val="006E00ED"/>
    <w:rsid w:val="006E5FF1"/>
    <w:rsid w:val="00700C76"/>
    <w:rsid w:val="00717463"/>
    <w:rsid w:val="0072588F"/>
    <w:rsid w:val="00732742"/>
    <w:rsid w:val="007333D8"/>
    <w:rsid w:val="007733E3"/>
    <w:rsid w:val="00793B57"/>
    <w:rsid w:val="007970E3"/>
    <w:rsid w:val="007A7AC6"/>
    <w:rsid w:val="007B0C9E"/>
    <w:rsid w:val="007D7FED"/>
    <w:rsid w:val="007F7A51"/>
    <w:rsid w:val="00810D2E"/>
    <w:rsid w:val="008359AA"/>
    <w:rsid w:val="00852CDC"/>
    <w:rsid w:val="00885657"/>
    <w:rsid w:val="00893AC5"/>
    <w:rsid w:val="008B4337"/>
    <w:rsid w:val="008D7904"/>
    <w:rsid w:val="00915DF6"/>
    <w:rsid w:val="00923564"/>
    <w:rsid w:val="00924BC4"/>
    <w:rsid w:val="00950256"/>
    <w:rsid w:val="00955DCA"/>
    <w:rsid w:val="009944D0"/>
    <w:rsid w:val="009A5F58"/>
    <w:rsid w:val="009C2358"/>
    <w:rsid w:val="009C29AF"/>
    <w:rsid w:val="009C7BF4"/>
    <w:rsid w:val="009E2119"/>
    <w:rsid w:val="009E7894"/>
    <w:rsid w:val="00A15580"/>
    <w:rsid w:val="00A16517"/>
    <w:rsid w:val="00A267C8"/>
    <w:rsid w:val="00A355E9"/>
    <w:rsid w:val="00A35DC7"/>
    <w:rsid w:val="00A91268"/>
    <w:rsid w:val="00AE1CE6"/>
    <w:rsid w:val="00B52DCA"/>
    <w:rsid w:val="00B62C9B"/>
    <w:rsid w:val="00B83A4A"/>
    <w:rsid w:val="00BA193B"/>
    <w:rsid w:val="00BD0F35"/>
    <w:rsid w:val="00BD53A4"/>
    <w:rsid w:val="00BF05B1"/>
    <w:rsid w:val="00BF422A"/>
    <w:rsid w:val="00BF4D8B"/>
    <w:rsid w:val="00BF6601"/>
    <w:rsid w:val="00C42BC4"/>
    <w:rsid w:val="00C625EF"/>
    <w:rsid w:val="00C8785B"/>
    <w:rsid w:val="00CD5AB8"/>
    <w:rsid w:val="00D04DA9"/>
    <w:rsid w:val="00D068AB"/>
    <w:rsid w:val="00D15D70"/>
    <w:rsid w:val="00D3584B"/>
    <w:rsid w:val="00D41F47"/>
    <w:rsid w:val="00D6566E"/>
    <w:rsid w:val="00D7154D"/>
    <w:rsid w:val="00D83CFD"/>
    <w:rsid w:val="00DA040C"/>
    <w:rsid w:val="00DA0B4A"/>
    <w:rsid w:val="00DA0ED2"/>
    <w:rsid w:val="00DB597D"/>
    <w:rsid w:val="00DC21B4"/>
    <w:rsid w:val="00DF43B0"/>
    <w:rsid w:val="00E02A4B"/>
    <w:rsid w:val="00E04346"/>
    <w:rsid w:val="00E13018"/>
    <w:rsid w:val="00E235D4"/>
    <w:rsid w:val="00E36F26"/>
    <w:rsid w:val="00E412C7"/>
    <w:rsid w:val="00E47B7E"/>
    <w:rsid w:val="00E80885"/>
    <w:rsid w:val="00E90882"/>
    <w:rsid w:val="00EB379D"/>
    <w:rsid w:val="00EC32EA"/>
    <w:rsid w:val="00EC477E"/>
    <w:rsid w:val="00F23679"/>
    <w:rsid w:val="00F52092"/>
    <w:rsid w:val="00F67F18"/>
    <w:rsid w:val="00F76484"/>
    <w:rsid w:val="00F812DC"/>
    <w:rsid w:val="00F83B1E"/>
    <w:rsid w:val="00FB08EA"/>
    <w:rsid w:val="00FC3E26"/>
    <w:rsid w:val="00FF5214"/>
    <w:rsid w:val="00FF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820"/>
    <w:rPr>
      <w:rFonts w:ascii="Formata Condensed Light" w:eastAsia="PMingLiU" w:hAnsi="Formata Condensed Light" w:cs="Times New Roman"/>
      <w:kern w:val="0"/>
      <w:sz w:val="20"/>
      <w:szCs w:val="24"/>
      <w:lang w:eastAsia="zh-TW"/>
    </w:rPr>
  </w:style>
  <w:style w:type="paragraph" w:styleId="5">
    <w:name w:val="heading 5"/>
    <w:basedOn w:val="a"/>
    <w:link w:val="5Char"/>
    <w:uiPriority w:val="9"/>
    <w:qFormat/>
    <w:rsid w:val="007A7AC6"/>
    <w:pPr>
      <w:spacing w:before="100" w:beforeAutospacing="1" w:after="100" w:afterAutospacing="1"/>
      <w:outlineLvl w:val="4"/>
    </w:pPr>
    <w:rPr>
      <w:rFonts w:ascii="宋体" w:eastAsia="宋体" w:hAnsi="宋体" w:cs="宋体"/>
      <w:b/>
      <w:bCs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82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7A7AC6"/>
    <w:rPr>
      <w:rFonts w:ascii="宋体" w:eastAsia="宋体" w:hAnsi="宋体" w:cs="宋体"/>
      <w:b/>
      <w:bCs/>
      <w:kern w:val="0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7A7AC6"/>
    <w:pPr>
      <w:spacing w:before="100" w:beforeAutospacing="1" w:after="100" w:afterAutospacing="1"/>
    </w:pPr>
    <w:rPr>
      <w:rFonts w:ascii="宋体" w:eastAsia="宋体" w:hAnsi="宋体" w:cs="宋体"/>
      <w:sz w:val="24"/>
      <w:lang w:eastAsia="zh-CN"/>
    </w:rPr>
  </w:style>
  <w:style w:type="character" w:customStyle="1" w:styleId="big1">
    <w:name w:val="big1"/>
    <w:rsid w:val="007A7AC6"/>
    <w:rPr>
      <w:sz w:val="22"/>
      <w:szCs w:val="22"/>
    </w:rPr>
  </w:style>
  <w:style w:type="character" w:styleId="a4">
    <w:name w:val="Hyperlink"/>
    <w:basedOn w:val="a0"/>
    <w:uiPriority w:val="99"/>
    <w:unhideWhenUsed/>
    <w:rsid w:val="00F812DC"/>
    <w:rPr>
      <w:color w:val="0563C1"/>
      <w:u w:val="single"/>
    </w:rPr>
  </w:style>
  <w:style w:type="paragraph" w:styleId="a5">
    <w:name w:val="Normal Indent"/>
    <w:aliases w:val="特点,表正文,正文非缩进,段1,正文缩进1,ALT+Z,标题4"/>
    <w:basedOn w:val="a"/>
    <w:uiPriority w:val="99"/>
    <w:semiHidden/>
    <w:unhideWhenUsed/>
    <w:rsid w:val="00F812DC"/>
    <w:pPr>
      <w:ind w:firstLine="420"/>
      <w:jc w:val="both"/>
    </w:pPr>
    <w:rPr>
      <w:rFonts w:ascii="Times New Roman" w:eastAsia="宋体" w:hAnsi="Times New Roman"/>
      <w:sz w:val="21"/>
      <w:szCs w:val="21"/>
      <w:lang w:eastAsia="zh-CN"/>
    </w:rPr>
  </w:style>
  <w:style w:type="paragraph" w:styleId="a6">
    <w:name w:val="List Paragraph"/>
    <w:basedOn w:val="a"/>
    <w:uiPriority w:val="34"/>
    <w:qFormat/>
    <w:rsid w:val="00EB379D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EB379D"/>
    <w:rPr>
      <w:color w:val="605E5C"/>
      <w:shd w:val="clear" w:color="auto" w:fill="E1DFDD"/>
    </w:rPr>
  </w:style>
  <w:style w:type="paragraph" w:styleId="a7">
    <w:name w:val="Balloon Text"/>
    <w:basedOn w:val="a"/>
    <w:link w:val="Char"/>
    <w:uiPriority w:val="99"/>
    <w:semiHidden/>
    <w:unhideWhenUsed/>
    <w:rsid w:val="00C42BC4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C42BC4"/>
    <w:rPr>
      <w:rFonts w:ascii="Formata Condensed Light" w:eastAsia="PMingLiU" w:hAnsi="Formata Condensed Light" w:cs="Times New Roman"/>
      <w:kern w:val="0"/>
      <w:sz w:val="18"/>
      <w:szCs w:val="18"/>
      <w:lang w:eastAsia="zh-TW"/>
    </w:rPr>
  </w:style>
  <w:style w:type="character" w:styleId="a8">
    <w:name w:val="annotation reference"/>
    <w:basedOn w:val="a0"/>
    <w:uiPriority w:val="99"/>
    <w:semiHidden/>
    <w:unhideWhenUsed/>
    <w:rsid w:val="00C42BC4"/>
    <w:rPr>
      <w:sz w:val="21"/>
      <w:szCs w:val="21"/>
    </w:rPr>
  </w:style>
  <w:style w:type="paragraph" w:styleId="a9">
    <w:name w:val="annotation text"/>
    <w:basedOn w:val="a"/>
    <w:link w:val="Char0"/>
    <w:uiPriority w:val="99"/>
    <w:semiHidden/>
    <w:unhideWhenUsed/>
    <w:rsid w:val="00C42BC4"/>
  </w:style>
  <w:style w:type="character" w:customStyle="1" w:styleId="Char0">
    <w:name w:val="批注文字 Char"/>
    <w:basedOn w:val="a0"/>
    <w:link w:val="a9"/>
    <w:uiPriority w:val="99"/>
    <w:semiHidden/>
    <w:rsid w:val="00C42BC4"/>
    <w:rPr>
      <w:rFonts w:ascii="Formata Condensed Light" w:eastAsia="PMingLiU" w:hAnsi="Formata Condensed Light" w:cs="Times New Roman"/>
      <w:kern w:val="0"/>
      <w:sz w:val="20"/>
      <w:szCs w:val="24"/>
      <w:lang w:eastAsia="zh-TW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C42BC4"/>
    <w:rPr>
      <w:b/>
      <w:bCs/>
    </w:rPr>
  </w:style>
  <w:style w:type="character" w:customStyle="1" w:styleId="Char1">
    <w:name w:val="批注主题 Char"/>
    <w:basedOn w:val="Char0"/>
    <w:link w:val="aa"/>
    <w:uiPriority w:val="99"/>
    <w:semiHidden/>
    <w:rsid w:val="00C42BC4"/>
    <w:rPr>
      <w:rFonts w:ascii="Formata Condensed Light" w:eastAsia="PMingLiU" w:hAnsi="Formata Condensed Light" w:cs="Times New Roman"/>
      <w:b/>
      <w:bCs/>
      <w:kern w:val="0"/>
      <w:sz w:val="20"/>
      <w:szCs w:val="24"/>
      <w:lang w:eastAsia="zh-TW"/>
    </w:rPr>
  </w:style>
  <w:style w:type="paragraph" w:styleId="ab">
    <w:name w:val="Revision"/>
    <w:hidden/>
    <w:uiPriority w:val="99"/>
    <w:semiHidden/>
    <w:rsid w:val="00C42BC4"/>
    <w:rPr>
      <w:rFonts w:ascii="Formata Condensed Light" w:eastAsia="PMingLiU" w:hAnsi="Formata Condensed Light" w:cs="Times New Roman"/>
      <w:kern w:val="0"/>
      <w:sz w:val="20"/>
      <w:szCs w:val="24"/>
      <w:lang w:eastAsia="zh-TW"/>
    </w:rPr>
  </w:style>
  <w:style w:type="paragraph" w:styleId="ac">
    <w:name w:val="header"/>
    <w:basedOn w:val="a"/>
    <w:link w:val="Char2"/>
    <w:uiPriority w:val="99"/>
    <w:unhideWhenUsed/>
    <w:rsid w:val="00FC3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c"/>
    <w:uiPriority w:val="99"/>
    <w:rsid w:val="00FC3E26"/>
    <w:rPr>
      <w:rFonts w:ascii="Formata Condensed Light" w:eastAsia="PMingLiU" w:hAnsi="Formata Condensed Light" w:cs="Times New Roman"/>
      <w:kern w:val="0"/>
      <w:sz w:val="18"/>
      <w:szCs w:val="18"/>
      <w:lang w:eastAsia="zh-TW"/>
    </w:rPr>
  </w:style>
  <w:style w:type="paragraph" w:styleId="ad">
    <w:name w:val="footer"/>
    <w:basedOn w:val="a"/>
    <w:link w:val="Char3"/>
    <w:uiPriority w:val="99"/>
    <w:unhideWhenUsed/>
    <w:rsid w:val="00FC3E2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3">
    <w:name w:val="页脚 Char"/>
    <w:basedOn w:val="a0"/>
    <w:link w:val="ad"/>
    <w:uiPriority w:val="99"/>
    <w:rsid w:val="00FC3E26"/>
    <w:rPr>
      <w:rFonts w:ascii="Formata Condensed Light" w:eastAsia="PMingLiU" w:hAnsi="Formata Condensed Light" w:cs="Times New Roman"/>
      <w:kern w:val="0"/>
      <w:sz w:val="18"/>
      <w:szCs w:val="18"/>
      <w:lang w:eastAsia="zh-TW"/>
    </w:rPr>
  </w:style>
  <w:style w:type="paragraph" w:styleId="ae">
    <w:name w:val="Date"/>
    <w:basedOn w:val="a"/>
    <w:next w:val="a"/>
    <w:link w:val="Char4"/>
    <w:uiPriority w:val="99"/>
    <w:semiHidden/>
    <w:unhideWhenUsed/>
    <w:rsid w:val="008359AA"/>
    <w:pPr>
      <w:ind w:leftChars="2500" w:left="100"/>
    </w:pPr>
  </w:style>
  <w:style w:type="character" w:customStyle="1" w:styleId="Char4">
    <w:name w:val="日期 Char"/>
    <w:basedOn w:val="a0"/>
    <w:link w:val="ae"/>
    <w:uiPriority w:val="99"/>
    <w:semiHidden/>
    <w:rsid w:val="008359AA"/>
    <w:rPr>
      <w:rFonts w:ascii="Formata Condensed Light" w:eastAsia="PMingLiU" w:hAnsi="Formata Condensed Light" w:cs="Times New Roman"/>
      <w:kern w:val="0"/>
      <w:sz w:val="20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16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icfun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A9903-3F16-4C92-8799-EE6F3631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848</Characters>
  <Application>Microsoft Office Word</Application>
  <DocSecurity>4</DocSecurity>
  <Lines>7</Lines>
  <Paragraphs>1</Paragraphs>
  <ScaleCrop>false</ScaleCrop>
  <Company>Microsoft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吴有生</dc:creator>
  <cp:lastModifiedBy>ZHONGM</cp:lastModifiedBy>
  <cp:revision>2</cp:revision>
  <dcterms:created xsi:type="dcterms:W3CDTF">2025-12-21T16:00:00Z</dcterms:created>
  <dcterms:modified xsi:type="dcterms:W3CDTF">2025-12-21T16:00:00Z</dcterms:modified>
</cp:coreProperties>
</file>