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7D" w:rsidRDefault="008A55F2">
      <w:pPr>
        <w:jc w:val="center"/>
        <w:rPr>
          <w:rFonts w:ascii="宋体" w:hAnsi="宋体"/>
          <w:b/>
          <w:bCs/>
          <w:sz w:val="32"/>
          <w:szCs w:val="32"/>
        </w:rPr>
      </w:pPr>
      <w:r>
        <w:rPr>
          <w:rFonts w:ascii="宋体" w:hAnsi="宋体" w:hint="eastAsia"/>
          <w:b/>
          <w:bCs/>
          <w:sz w:val="32"/>
          <w:szCs w:val="32"/>
        </w:rPr>
        <w:t>关于旗下部分基金</w:t>
      </w:r>
      <w:r>
        <w:rPr>
          <w:rFonts w:ascii="宋体" w:hAnsi="宋体"/>
          <w:b/>
          <w:bCs/>
          <w:sz w:val="32"/>
          <w:szCs w:val="32"/>
        </w:rPr>
        <w:t>2025年12月24日</w:t>
      </w:r>
      <w:r w:rsidR="00223BEC">
        <w:rPr>
          <w:rFonts w:ascii="宋体" w:hAnsi="宋体" w:hint="eastAsia"/>
          <w:b/>
          <w:bCs/>
          <w:sz w:val="32"/>
          <w:szCs w:val="32"/>
        </w:rPr>
        <w:t>至</w:t>
      </w:r>
      <w:r>
        <w:rPr>
          <w:rFonts w:ascii="宋体" w:hAnsi="宋体"/>
          <w:b/>
          <w:bCs/>
          <w:sz w:val="32"/>
          <w:szCs w:val="32"/>
        </w:rPr>
        <w:t>2025年12月26日因港股通非交易日及境外主要投资市场节假日暂停申购、赎回、转换、定期定额投资业务的公告</w:t>
      </w:r>
    </w:p>
    <w:p w:rsidR="0073537D" w:rsidRDefault="0073537D">
      <w:pPr>
        <w:jc w:val="center"/>
        <w:rPr>
          <w:rFonts w:ascii="宋体" w:hAnsi="宋体"/>
          <w:b/>
          <w:bCs/>
          <w:sz w:val="48"/>
          <w:szCs w:val="30"/>
        </w:rPr>
      </w:pPr>
    </w:p>
    <w:p w:rsidR="0073537D" w:rsidRDefault="008A55F2">
      <w:pPr>
        <w:pStyle w:val="-"/>
        <w:ind w:firstLine="480"/>
      </w:pPr>
      <w:r>
        <w:rPr>
          <w:rFonts w:hint="eastAsia"/>
        </w:rPr>
        <w:t>为保护基金份额持有人的利益，保障基金平稳运作，根据各基金合同等法律文件相关规定、港股通非交易日及境外主要投资市场节假日安排，招商基金管理有限公司（以下简称“本公司”）旗下部分基金因</w:t>
      </w:r>
      <w:r>
        <w:t>2025年12月24日</w:t>
      </w:r>
      <w:r w:rsidR="00223BEC">
        <w:rPr>
          <w:rFonts w:hint="eastAsia"/>
        </w:rPr>
        <w:t>至</w:t>
      </w:r>
      <w:r>
        <w:t>2025年12月26日为港股通非交易日及境外主要投资市场节假日将暂停申购、赎回、转换、定期定额投资业务，并于2025年12月29日恢复办理上述业务，届时将不再另行公告。</w:t>
      </w:r>
    </w:p>
    <w:p w:rsidR="0073537D" w:rsidRDefault="008A55F2">
      <w:pPr>
        <w:pStyle w:val="-1"/>
        <w:spacing w:after="156"/>
        <w:ind w:left="210"/>
      </w:pPr>
      <w:r>
        <w:rPr>
          <w:rFonts w:hint="eastAsia"/>
        </w:rPr>
        <w:t>一、适用基金范围</w:t>
      </w:r>
    </w:p>
    <w:tbl>
      <w:tblPr>
        <w:tblStyle w:val="-0"/>
        <w:tblW w:w="8505" w:type="dxa"/>
        <w:tblLayout w:type="fixed"/>
        <w:tblLook w:val="04A0"/>
      </w:tblPr>
      <w:tblGrid>
        <w:gridCol w:w="851"/>
        <w:gridCol w:w="1134"/>
        <w:gridCol w:w="4394"/>
        <w:gridCol w:w="2126"/>
      </w:tblGrid>
      <w:tr w:rsidR="0073537D" w:rsidTr="0073537D">
        <w:trPr>
          <w:cnfStyle w:val="100000000000"/>
        </w:trPr>
        <w:tc>
          <w:tcPr>
            <w:tcW w:w="851" w:type="dxa"/>
          </w:tcPr>
          <w:p w:rsidR="0073537D" w:rsidRDefault="008A55F2" w:rsidP="001B0794">
            <w:pPr>
              <w:jc w:val="center"/>
            </w:pPr>
            <w:r>
              <w:rPr>
                <w:rFonts w:hint="eastAsia"/>
              </w:rPr>
              <w:t>序号</w:t>
            </w:r>
          </w:p>
        </w:tc>
        <w:tc>
          <w:tcPr>
            <w:tcW w:w="1134" w:type="dxa"/>
          </w:tcPr>
          <w:p w:rsidR="0073537D" w:rsidRDefault="008A55F2">
            <w:pPr>
              <w:jc w:val="center"/>
            </w:pPr>
            <w:r>
              <w:rPr>
                <w:rFonts w:hint="eastAsia"/>
              </w:rPr>
              <w:t>基金代码</w:t>
            </w:r>
          </w:p>
        </w:tc>
        <w:tc>
          <w:tcPr>
            <w:tcW w:w="4394" w:type="dxa"/>
          </w:tcPr>
          <w:p w:rsidR="0073537D" w:rsidRDefault="008A55F2">
            <w:pPr>
              <w:jc w:val="center"/>
            </w:pPr>
            <w:r>
              <w:rPr>
                <w:rFonts w:hint="eastAsia"/>
              </w:rPr>
              <w:t>基金名称</w:t>
            </w:r>
          </w:p>
        </w:tc>
        <w:tc>
          <w:tcPr>
            <w:tcW w:w="2126" w:type="dxa"/>
          </w:tcPr>
          <w:p w:rsidR="0073537D" w:rsidRDefault="008A55F2">
            <w:pPr>
              <w:jc w:val="center"/>
            </w:pPr>
            <w:r>
              <w:rPr>
                <w:rFonts w:hint="eastAsia"/>
              </w:rPr>
              <w:t>暂停原因</w:t>
            </w:r>
          </w:p>
        </w:tc>
      </w:tr>
      <w:tr w:rsidR="0073537D" w:rsidTr="0073537D">
        <w:tc>
          <w:tcPr>
            <w:tcW w:w="851" w:type="dxa"/>
          </w:tcPr>
          <w:p w:rsidR="0073537D" w:rsidRDefault="008A55F2" w:rsidP="001B0794">
            <w:pPr>
              <w:jc w:val="center"/>
            </w:pPr>
            <w:r>
              <w:t>1</w:t>
            </w:r>
          </w:p>
        </w:tc>
        <w:tc>
          <w:tcPr>
            <w:tcW w:w="1134" w:type="dxa"/>
          </w:tcPr>
          <w:p w:rsidR="0073537D" w:rsidRDefault="008A55F2">
            <w:pPr>
              <w:jc w:val="left"/>
            </w:pPr>
            <w:r>
              <w:t>159125</w:t>
            </w:r>
          </w:p>
        </w:tc>
        <w:tc>
          <w:tcPr>
            <w:tcW w:w="4394" w:type="dxa"/>
          </w:tcPr>
          <w:p w:rsidR="0073537D" w:rsidRDefault="008A55F2">
            <w:pPr>
              <w:jc w:val="left"/>
            </w:pPr>
            <w:r>
              <w:rPr>
                <w:rFonts w:hint="eastAsia"/>
              </w:rPr>
              <w:t>招商国证港股通科技交易型开放式指数证券投资基金</w:t>
            </w:r>
          </w:p>
        </w:tc>
        <w:tc>
          <w:tcPr>
            <w:tcW w:w="2126" w:type="dxa"/>
          </w:tcPr>
          <w:p w:rsidR="0073537D" w:rsidRDefault="008A55F2">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w:t>
            </w:r>
            <w:r w:rsidR="00223BEC">
              <w:rPr>
                <w:rFonts w:hint="eastAsia"/>
              </w:rPr>
              <w:t>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sidR="00223BEC">
              <w:rPr>
                <w:rFonts w:hint="eastAsia"/>
              </w:rPr>
              <w:t>为港股通非交易日</w:t>
            </w:r>
          </w:p>
        </w:tc>
      </w:tr>
      <w:tr w:rsidR="0073537D" w:rsidTr="0073537D">
        <w:tc>
          <w:tcPr>
            <w:tcW w:w="851" w:type="dxa"/>
          </w:tcPr>
          <w:p w:rsidR="0073537D" w:rsidRDefault="008A55F2" w:rsidP="001B0794">
            <w:pPr>
              <w:jc w:val="center"/>
            </w:pPr>
            <w:r>
              <w:t>2</w:t>
            </w:r>
          </w:p>
        </w:tc>
        <w:tc>
          <w:tcPr>
            <w:tcW w:w="1134" w:type="dxa"/>
          </w:tcPr>
          <w:p w:rsidR="0073537D" w:rsidRDefault="008A55F2">
            <w:pPr>
              <w:jc w:val="left"/>
            </w:pPr>
            <w:r>
              <w:t>520550</w:t>
            </w:r>
          </w:p>
        </w:tc>
        <w:tc>
          <w:tcPr>
            <w:tcW w:w="4394" w:type="dxa"/>
          </w:tcPr>
          <w:p w:rsidR="0073537D" w:rsidRDefault="008A55F2">
            <w:pPr>
              <w:jc w:val="left"/>
            </w:pPr>
            <w:r>
              <w:rPr>
                <w:rFonts w:hint="eastAsia"/>
              </w:rPr>
              <w:t>招商恒生港股通高股息低波动交易型开放式指数证券投资基金</w:t>
            </w:r>
          </w:p>
        </w:tc>
        <w:tc>
          <w:tcPr>
            <w:tcW w:w="2126" w:type="dxa"/>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vMerge w:val="restart"/>
          </w:tcPr>
          <w:p w:rsidR="0073537D" w:rsidRDefault="008A55F2" w:rsidP="001B0794">
            <w:pPr>
              <w:jc w:val="center"/>
            </w:pPr>
            <w:r>
              <w:t>3</w:t>
            </w:r>
          </w:p>
        </w:tc>
        <w:tc>
          <w:tcPr>
            <w:tcW w:w="1134" w:type="dxa"/>
          </w:tcPr>
          <w:p w:rsidR="0073537D" w:rsidRDefault="008A55F2">
            <w:pPr>
              <w:jc w:val="left"/>
            </w:pPr>
            <w:r>
              <w:t>024029</w:t>
            </w:r>
          </w:p>
        </w:tc>
        <w:tc>
          <w:tcPr>
            <w:tcW w:w="4394" w:type="dxa"/>
          </w:tcPr>
          <w:p w:rsidR="0073537D" w:rsidRDefault="008A55F2">
            <w:pPr>
              <w:jc w:val="left"/>
            </w:pPr>
            <w:r>
              <w:rPr>
                <w:rFonts w:hint="eastAsia"/>
              </w:rPr>
              <w:t>招商恒生港股通高股息低波动交易型开放式指数证券投资基金发起式联接基金（</w:t>
            </w:r>
            <w:r>
              <w:rPr>
                <w:rFonts w:hint="eastAsia"/>
              </w:rPr>
              <w:t>A</w:t>
            </w:r>
            <w:r>
              <w:rPr>
                <w:rFonts w:hint="eastAsia"/>
              </w:rPr>
              <w:t>类份额）</w:t>
            </w:r>
          </w:p>
        </w:tc>
        <w:tc>
          <w:tcPr>
            <w:tcW w:w="2126" w:type="dxa"/>
            <w:vMerge w:val="restart"/>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vMerge/>
          </w:tcPr>
          <w:p w:rsidR="0073537D" w:rsidRDefault="0073537D" w:rsidP="001B0794">
            <w:pPr>
              <w:jc w:val="center"/>
            </w:pPr>
          </w:p>
        </w:tc>
        <w:tc>
          <w:tcPr>
            <w:tcW w:w="1134" w:type="dxa"/>
          </w:tcPr>
          <w:p w:rsidR="0073537D" w:rsidRDefault="008A55F2">
            <w:pPr>
              <w:jc w:val="left"/>
            </w:pPr>
            <w:r>
              <w:t>024030</w:t>
            </w:r>
          </w:p>
        </w:tc>
        <w:tc>
          <w:tcPr>
            <w:tcW w:w="4394" w:type="dxa"/>
          </w:tcPr>
          <w:p w:rsidR="0073537D" w:rsidRDefault="008A55F2">
            <w:pPr>
              <w:jc w:val="left"/>
            </w:pPr>
            <w:r>
              <w:rPr>
                <w:rFonts w:hint="eastAsia"/>
              </w:rPr>
              <w:t>招商恒生港股通高股息低波动交易型开放式指数证券投资基金发起式联接基金（</w:t>
            </w:r>
            <w:r>
              <w:rPr>
                <w:rFonts w:hint="eastAsia"/>
              </w:rPr>
              <w:t>C</w:t>
            </w:r>
            <w:r>
              <w:rPr>
                <w:rFonts w:hint="eastAsia"/>
              </w:rPr>
              <w:t>类份额）</w:t>
            </w:r>
          </w:p>
        </w:tc>
        <w:tc>
          <w:tcPr>
            <w:tcW w:w="2126" w:type="dxa"/>
            <w:vMerge/>
          </w:tcPr>
          <w:p w:rsidR="0073537D" w:rsidRDefault="0073537D">
            <w:pPr>
              <w:jc w:val="left"/>
            </w:pPr>
          </w:p>
        </w:tc>
      </w:tr>
      <w:tr w:rsidR="0073537D" w:rsidTr="0073537D">
        <w:tc>
          <w:tcPr>
            <w:tcW w:w="851" w:type="dxa"/>
          </w:tcPr>
          <w:p w:rsidR="0073537D" w:rsidRDefault="008A55F2" w:rsidP="001B0794">
            <w:pPr>
              <w:jc w:val="center"/>
            </w:pPr>
            <w:r>
              <w:t>4</w:t>
            </w:r>
          </w:p>
        </w:tc>
        <w:tc>
          <w:tcPr>
            <w:tcW w:w="1134" w:type="dxa"/>
          </w:tcPr>
          <w:p w:rsidR="0073537D" w:rsidRDefault="008A55F2">
            <w:pPr>
              <w:jc w:val="left"/>
            </w:pPr>
            <w:r>
              <w:t>513990</w:t>
            </w:r>
          </w:p>
        </w:tc>
        <w:tc>
          <w:tcPr>
            <w:tcW w:w="4394" w:type="dxa"/>
          </w:tcPr>
          <w:p w:rsidR="0073537D" w:rsidRDefault="008A55F2">
            <w:pPr>
              <w:jc w:val="left"/>
            </w:pPr>
            <w:r>
              <w:rPr>
                <w:rFonts w:hint="eastAsia"/>
              </w:rPr>
              <w:t>招商上证港股通交易型开放式指数证券投资基金</w:t>
            </w:r>
          </w:p>
        </w:tc>
        <w:tc>
          <w:tcPr>
            <w:tcW w:w="2126" w:type="dxa"/>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tcPr>
          <w:p w:rsidR="0073537D" w:rsidRDefault="008A55F2" w:rsidP="001B0794">
            <w:pPr>
              <w:jc w:val="center"/>
            </w:pPr>
            <w:r>
              <w:t>5</w:t>
            </w:r>
          </w:p>
        </w:tc>
        <w:tc>
          <w:tcPr>
            <w:tcW w:w="1134" w:type="dxa"/>
          </w:tcPr>
          <w:p w:rsidR="0073537D" w:rsidRDefault="008A55F2">
            <w:pPr>
              <w:jc w:val="left"/>
            </w:pPr>
            <w:r>
              <w:t>517990</w:t>
            </w:r>
          </w:p>
        </w:tc>
        <w:tc>
          <w:tcPr>
            <w:tcW w:w="4394" w:type="dxa"/>
          </w:tcPr>
          <w:p w:rsidR="0073537D" w:rsidRDefault="008A55F2">
            <w:pPr>
              <w:jc w:val="left"/>
            </w:pPr>
            <w:r>
              <w:rPr>
                <w:rFonts w:hint="eastAsia"/>
              </w:rPr>
              <w:t>招商中证沪港深</w:t>
            </w:r>
            <w:r>
              <w:rPr>
                <w:rFonts w:hint="eastAsia"/>
              </w:rPr>
              <w:t>500</w:t>
            </w:r>
            <w:r>
              <w:rPr>
                <w:rFonts w:hint="eastAsia"/>
              </w:rPr>
              <w:t>医药卫生交易型开放式指数证券投资基金</w:t>
            </w:r>
          </w:p>
        </w:tc>
        <w:tc>
          <w:tcPr>
            <w:tcW w:w="2126" w:type="dxa"/>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tcPr>
          <w:p w:rsidR="0073537D" w:rsidRDefault="008A55F2" w:rsidP="001B0794">
            <w:pPr>
              <w:jc w:val="center"/>
            </w:pPr>
            <w:r>
              <w:t>6</w:t>
            </w:r>
          </w:p>
        </w:tc>
        <w:tc>
          <w:tcPr>
            <w:tcW w:w="1134" w:type="dxa"/>
          </w:tcPr>
          <w:p w:rsidR="0073537D" w:rsidRDefault="008A55F2">
            <w:pPr>
              <w:jc w:val="left"/>
            </w:pPr>
            <w:r>
              <w:t>517550</w:t>
            </w:r>
          </w:p>
        </w:tc>
        <w:tc>
          <w:tcPr>
            <w:tcW w:w="4394" w:type="dxa"/>
          </w:tcPr>
          <w:p w:rsidR="0073537D" w:rsidRDefault="008A55F2">
            <w:pPr>
              <w:jc w:val="left"/>
            </w:pPr>
            <w:r>
              <w:rPr>
                <w:rFonts w:hint="eastAsia"/>
              </w:rPr>
              <w:t>招商中证沪港深消费龙头交易型开放式指数证券投资基金</w:t>
            </w:r>
          </w:p>
        </w:tc>
        <w:tc>
          <w:tcPr>
            <w:tcW w:w="2126" w:type="dxa"/>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RPr="00D05A01" w:rsidTr="0073537D">
        <w:tc>
          <w:tcPr>
            <w:tcW w:w="851" w:type="dxa"/>
          </w:tcPr>
          <w:p w:rsidR="0073537D" w:rsidRDefault="008A55F2" w:rsidP="001B0794">
            <w:pPr>
              <w:jc w:val="center"/>
            </w:pPr>
            <w:r>
              <w:t>7</w:t>
            </w:r>
          </w:p>
        </w:tc>
        <w:tc>
          <w:tcPr>
            <w:tcW w:w="1134" w:type="dxa"/>
          </w:tcPr>
          <w:p w:rsidR="0073537D" w:rsidRDefault="008A55F2">
            <w:pPr>
              <w:jc w:val="left"/>
            </w:pPr>
            <w:r>
              <w:t>513220</w:t>
            </w:r>
          </w:p>
        </w:tc>
        <w:tc>
          <w:tcPr>
            <w:tcW w:w="4394" w:type="dxa"/>
          </w:tcPr>
          <w:p w:rsidR="0073537D" w:rsidRDefault="008A55F2">
            <w:pPr>
              <w:jc w:val="left"/>
            </w:pPr>
            <w:r>
              <w:rPr>
                <w:rFonts w:hint="eastAsia"/>
              </w:rPr>
              <w:t>招商中证全球中国互联网交易型开放式指数证券投资基金（</w:t>
            </w:r>
            <w:r>
              <w:rPr>
                <w:rFonts w:hint="eastAsia"/>
              </w:rPr>
              <w:t>QDII</w:t>
            </w:r>
            <w:r>
              <w:rPr>
                <w:rFonts w:hint="eastAsia"/>
              </w:rPr>
              <w:t>）</w:t>
            </w:r>
          </w:p>
        </w:tc>
        <w:tc>
          <w:tcPr>
            <w:tcW w:w="2126" w:type="dxa"/>
          </w:tcPr>
          <w:p w:rsidR="0073537D" w:rsidRDefault="00D05A01" w:rsidP="000E3C62">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sidR="008A55F2">
              <w:rPr>
                <w:rFonts w:hint="eastAsia"/>
              </w:rPr>
              <w:t>为香港圣诞节假期</w:t>
            </w:r>
          </w:p>
        </w:tc>
      </w:tr>
      <w:tr w:rsidR="0073537D" w:rsidTr="0073537D">
        <w:tc>
          <w:tcPr>
            <w:tcW w:w="851" w:type="dxa"/>
          </w:tcPr>
          <w:p w:rsidR="0073537D" w:rsidRDefault="008A55F2" w:rsidP="001B0794">
            <w:pPr>
              <w:jc w:val="center"/>
            </w:pPr>
            <w:r>
              <w:lastRenderedPageBreak/>
              <w:t>8</w:t>
            </w:r>
          </w:p>
        </w:tc>
        <w:tc>
          <w:tcPr>
            <w:tcW w:w="1134" w:type="dxa"/>
          </w:tcPr>
          <w:p w:rsidR="0073537D" w:rsidRDefault="008A55F2">
            <w:pPr>
              <w:jc w:val="left"/>
            </w:pPr>
            <w:r>
              <w:t>159750</w:t>
            </w:r>
          </w:p>
        </w:tc>
        <w:tc>
          <w:tcPr>
            <w:tcW w:w="4394" w:type="dxa"/>
          </w:tcPr>
          <w:p w:rsidR="0073537D" w:rsidRDefault="008A55F2">
            <w:pPr>
              <w:jc w:val="left"/>
            </w:pPr>
            <w:r>
              <w:rPr>
                <w:rFonts w:hint="eastAsia"/>
              </w:rPr>
              <w:t>招商中证香港科技交易型开放式指数证券投资基金（</w:t>
            </w:r>
            <w:r>
              <w:rPr>
                <w:rFonts w:hint="eastAsia"/>
              </w:rPr>
              <w:t>QDII</w:t>
            </w:r>
            <w:r>
              <w:rPr>
                <w:rFonts w:hint="eastAsia"/>
              </w:rPr>
              <w:t>）</w:t>
            </w:r>
          </w:p>
        </w:tc>
        <w:tc>
          <w:tcPr>
            <w:tcW w:w="2126" w:type="dxa"/>
          </w:tcPr>
          <w:p w:rsidR="0073537D" w:rsidRDefault="008E2CB7">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sidR="000E3C62">
              <w:rPr>
                <w:rFonts w:hint="eastAsia"/>
              </w:rPr>
              <w:t>为香港圣诞节假期</w:t>
            </w:r>
          </w:p>
        </w:tc>
      </w:tr>
      <w:tr w:rsidR="0073537D" w:rsidRPr="008E2CB7" w:rsidTr="0073537D">
        <w:tc>
          <w:tcPr>
            <w:tcW w:w="851" w:type="dxa"/>
            <w:vMerge w:val="restart"/>
          </w:tcPr>
          <w:p w:rsidR="0073537D" w:rsidRDefault="008A55F2" w:rsidP="001B0794">
            <w:pPr>
              <w:jc w:val="center"/>
            </w:pPr>
            <w:r>
              <w:t>9</w:t>
            </w:r>
          </w:p>
        </w:tc>
        <w:tc>
          <w:tcPr>
            <w:tcW w:w="1134" w:type="dxa"/>
          </w:tcPr>
          <w:p w:rsidR="0073537D" w:rsidRDefault="008A55F2">
            <w:pPr>
              <w:jc w:val="left"/>
            </w:pPr>
            <w:r>
              <w:t>021633</w:t>
            </w:r>
          </w:p>
        </w:tc>
        <w:tc>
          <w:tcPr>
            <w:tcW w:w="4394" w:type="dxa"/>
          </w:tcPr>
          <w:p w:rsidR="0073537D" w:rsidRDefault="008A55F2">
            <w:pPr>
              <w:jc w:val="left"/>
            </w:pPr>
            <w:r>
              <w:rPr>
                <w:rFonts w:hint="eastAsia"/>
              </w:rPr>
              <w:t>招商中证香港科技交易型开放式指数证券投资基金发起式联接基金（</w:t>
            </w:r>
            <w:r>
              <w:rPr>
                <w:rFonts w:hint="eastAsia"/>
              </w:rPr>
              <w:t>QDII</w:t>
            </w:r>
            <w:r>
              <w:rPr>
                <w:rFonts w:hint="eastAsia"/>
              </w:rPr>
              <w:t>）（</w:t>
            </w:r>
            <w:r>
              <w:rPr>
                <w:rFonts w:hint="eastAsia"/>
              </w:rPr>
              <w:t>A</w:t>
            </w:r>
            <w:r>
              <w:rPr>
                <w:rFonts w:hint="eastAsia"/>
              </w:rPr>
              <w:t>类份额）</w:t>
            </w:r>
          </w:p>
        </w:tc>
        <w:tc>
          <w:tcPr>
            <w:tcW w:w="2126" w:type="dxa"/>
            <w:vMerge w:val="restart"/>
          </w:tcPr>
          <w:p w:rsidR="0073537D" w:rsidRDefault="008E2CB7" w:rsidP="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w:t>
            </w:r>
            <w:r w:rsidR="000E3C62">
              <w:rPr>
                <w:rFonts w:hint="eastAsia"/>
              </w:rPr>
              <w:t>为香港圣诞节假期</w:t>
            </w:r>
          </w:p>
        </w:tc>
        <w:bookmarkStart w:id="0" w:name="_GoBack"/>
        <w:bookmarkEnd w:id="0"/>
      </w:tr>
      <w:tr w:rsidR="0073537D" w:rsidTr="0073537D">
        <w:tc>
          <w:tcPr>
            <w:tcW w:w="851" w:type="dxa"/>
            <w:vMerge/>
          </w:tcPr>
          <w:p w:rsidR="0073537D" w:rsidRDefault="0073537D" w:rsidP="001B0794">
            <w:pPr>
              <w:jc w:val="center"/>
            </w:pPr>
          </w:p>
        </w:tc>
        <w:tc>
          <w:tcPr>
            <w:tcW w:w="1134" w:type="dxa"/>
          </w:tcPr>
          <w:p w:rsidR="0073537D" w:rsidRDefault="008A55F2">
            <w:pPr>
              <w:jc w:val="left"/>
            </w:pPr>
            <w:r>
              <w:t>021634</w:t>
            </w:r>
          </w:p>
        </w:tc>
        <w:tc>
          <w:tcPr>
            <w:tcW w:w="4394" w:type="dxa"/>
          </w:tcPr>
          <w:p w:rsidR="0073537D" w:rsidRDefault="008A55F2">
            <w:pPr>
              <w:jc w:val="left"/>
            </w:pPr>
            <w:r>
              <w:rPr>
                <w:rFonts w:hint="eastAsia"/>
              </w:rPr>
              <w:t>招商中证香港科技交易型开放式指数证券投资基金发起式联接基金（</w:t>
            </w:r>
            <w:r>
              <w:rPr>
                <w:rFonts w:hint="eastAsia"/>
              </w:rPr>
              <w:t>QDII</w:t>
            </w:r>
            <w:r>
              <w:rPr>
                <w:rFonts w:hint="eastAsia"/>
              </w:rPr>
              <w:t>）（</w:t>
            </w:r>
            <w:r>
              <w:rPr>
                <w:rFonts w:hint="eastAsia"/>
              </w:rPr>
              <w:t>C</w:t>
            </w:r>
            <w:r>
              <w:rPr>
                <w:rFonts w:hint="eastAsia"/>
              </w:rPr>
              <w:t>类份额）</w:t>
            </w:r>
          </w:p>
        </w:tc>
        <w:tc>
          <w:tcPr>
            <w:tcW w:w="2126" w:type="dxa"/>
            <w:vMerge/>
          </w:tcPr>
          <w:p w:rsidR="0073537D" w:rsidRDefault="0073537D">
            <w:pPr>
              <w:jc w:val="left"/>
            </w:pPr>
          </w:p>
        </w:tc>
      </w:tr>
      <w:tr w:rsidR="0073537D" w:rsidTr="0073537D">
        <w:tc>
          <w:tcPr>
            <w:tcW w:w="851" w:type="dxa"/>
          </w:tcPr>
          <w:p w:rsidR="0073537D" w:rsidRDefault="008A55F2" w:rsidP="001B0794">
            <w:pPr>
              <w:jc w:val="center"/>
            </w:pPr>
            <w:r>
              <w:t>10</w:t>
            </w:r>
          </w:p>
        </w:tc>
        <w:tc>
          <w:tcPr>
            <w:tcW w:w="1134" w:type="dxa"/>
          </w:tcPr>
          <w:p w:rsidR="0073537D" w:rsidRDefault="008A55F2">
            <w:pPr>
              <w:jc w:val="left"/>
            </w:pPr>
            <w:r>
              <w:t>517900</w:t>
            </w:r>
          </w:p>
        </w:tc>
        <w:tc>
          <w:tcPr>
            <w:tcW w:w="4394" w:type="dxa"/>
          </w:tcPr>
          <w:p w:rsidR="0073537D" w:rsidRDefault="008A55F2">
            <w:pPr>
              <w:jc w:val="left"/>
            </w:pPr>
            <w:r>
              <w:rPr>
                <w:rFonts w:hint="eastAsia"/>
              </w:rPr>
              <w:t>招商中证银行</w:t>
            </w:r>
            <w:r>
              <w:rPr>
                <w:rFonts w:hint="eastAsia"/>
              </w:rPr>
              <w:t>AH</w:t>
            </w:r>
            <w:r>
              <w:rPr>
                <w:rFonts w:hint="eastAsia"/>
              </w:rPr>
              <w:t>价格优选交易型开放式指数证券投资基金</w:t>
            </w:r>
          </w:p>
        </w:tc>
        <w:tc>
          <w:tcPr>
            <w:tcW w:w="2126" w:type="dxa"/>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vMerge w:val="restart"/>
          </w:tcPr>
          <w:p w:rsidR="0073537D" w:rsidRDefault="008A55F2" w:rsidP="001B0794">
            <w:pPr>
              <w:jc w:val="center"/>
            </w:pPr>
            <w:r>
              <w:t>11</w:t>
            </w:r>
          </w:p>
        </w:tc>
        <w:tc>
          <w:tcPr>
            <w:tcW w:w="1134" w:type="dxa"/>
          </w:tcPr>
          <w:p w:rsidR="0073537D" w:rsidRDefault="008A55F2">
            <w:pPr>
              <w:jc w:val="left"/>
            </w:pPr>
            <w:r>
              <w:t>016572</w:t>
            </w:r>
          </w:p>
        </w:tc>
        <w:tc>
          <w:tcPr>
            <w:tcW w:w="4394" w:type="dxa"/>
          </w:tcPr>
          <w:p w:rsidR="0073537D" w:rsidRDefault="008A55F2">
            <w:pPr>
              <w:jc w:val="left"/>
            </w:pPr>
            <w:r>
              <w:rPr>
                <w:rFonts w:hint="eastAsia"/>
              </w:rPr>
              <w:t>招商中证银行</w:t>
            </w:r>
            <w:r>
              <w:rPr>
                <w:rFonts w:hint="eastAsia"/>
              </w:rPr>
              <w:t>AH</w:t>
            </w:r>
            <w:r>
              <w:rPr>
                <w:rFonts w:hint="eastAsia"/>
              </w:rPr>
              <w:t>价格优选交易型开放式指数证券投资基金发起式联接基金（</w:t>
            </w:r>
            <w:r>
              <w:rPr>
                <w:rFonts w:hint="eastAsia"/>
              </w:rPr>
              <w:t>A</w:t>
            </w:r>
            <w:r>
              <w:rPr>
                <w:rFonts w:hint="eastAsia"/>
              </w:rPr>
              <w:t>类份额）</w:t>
            </w:r>
          </w:p>
        </w:tc>
        <w:tc>
          <w:tcPr>
            <w:tcW w:w="2126" w:type="dxa"/>
            <w:vMerge w:val="restart"/>
          </w:tcPr>
          <w:p w:rsidR="0073537D" w:rsidRDefault="00223BEC">
            <w:pPr>
              <w:jc w:val="left"/>
            </w:pPr>
            <w:r>
              <w:rPr>
                <w:rFonts w:hint="eastAsia"/>
              </w:rPr>
              <w:t>2025</w:t>
            </w:r>
            <w:r>
              <w:rPr>
                <w:rFonts w:hint="eastAsia"/>
              </w:rPr>
              <w:t>年</w:t>
            </w:r>
            <w:r>
              <w:rPr>
                <w:rFonts w:hint="eastAsia"/>
              </w:rPr>
              <w:t>12</w:t>
            </w:r>
            <w:r>
              <w:rPr>
                <w:rFonts w:hint="eastAsia"/>
              </w:rPr>
              <w:t>月</w:t>
            </w:r>
            <w:r>
              <w:rPr>
                <w:rFonts w:hint="eastAsia"/>
              </w:rPr>
              <w:t>24</w:t>
            </w:r>
            <w:r>
              <w:rPr>
                <w:rFonts w:hint="eastAsia"/>
              </w:rPr>
              <w:t>日下午至</w:t>
            </w:r>
            <w:r>
              <w:rPr>
                <w:rFonts w:hint="eastAsia"/>
              </w:rPr>
              <w:t>2025</w:t>
            </w:r>
            <w:r>
              <w:rPr>
                <w:rFonts w:hint="eastAsia"/>
              </w:rPr>
              <w:t>年</w:t>
            </w:r>
            <w:r>
              <w:rPr>
                <w:rFonts w:hint="eastAsia"/>
              </w:rPr>
              <w:t>12</w:t>
            </w:r>
            <w:r>
              <w:rPr>
                <w:rFonts w:hint="eastAsia"/>
              </w:rPr>
              <w:t>月</w:t>
            </w:r>
            <w:r>
              <w:rPr>
                <w:rFonts w:hint="eastAsia"/>
              </w:rPr>
              <w:t>26</w:t>
            </w:r>
            <w:r>
              <w:rPr>
                <w:rFonts w:hint="eastAsia"/>
              </w:rPr>
              <w:t>日为港股通非交易日</w:t>
            </w:r>
          </w:p>
        </w:tc>
      </w:tr>
      <w:tr w:rsidR="0073537D" w:rsidTr="0073537D">
        <w:tc>
          <w:tcPr>
            <w:tcW w:w="851" w:type="dxa"/>
            <w:vMerge/>
          </w:tcPr>
          <w:p w:rsidR="0073537D" w:rsidRDefault="0073537D">
            <w:pPr>
              <w:jc w:val="left"/>
            </w:pPr>
          </w:p>
        </w:tc>
        <w:tc>
          <w:tcPr>
            <w:tcW w:w="1134" w:type="dxa"/>
          </w:tcPr>
          <w:p w:rsidR="0073537D" w:rsidRDefault="008A55F2">
            <w:pPr>
              <w:jc w:val="left"/>
            </w:pPr>
            <w:r>
              <w:t>016573</w:t>
            </w:r>
          </w:p>
        </w:tc>
        <w:tc>
          <w:tcPr>
            <w:tcW w:w="4394" w:type="dxa"/>
          </w:tcPr>
          <w:p w:rsidR="0073537D" w:rsidRDefault="008A55F2">
            <w:pPr>
              <w:jc w:val="left"/>
            </w:pPr>
            <w:r>
              <w:rPr>
                <w:rFonts w:hint="eastAsia"/>
              </w:rPr>
              <w:t>招商中证银行</w:t>
            </w:r>
            <w:r>
              <w:rPr>
                <w:rFonts w:hint="eastAsia"/>
              </w:rPr>
              <w:t>AH</w:t>
            </w:r>
            <w:r>
              <w:rPr>
                <w:rFonts w:hint="eastAsia"/>
              </w:rPr>
              <w:t>价格优选交易型开放式指数证券投资基金发起式联接基金（</w:t>
            </w:r>
            <w:r>
              <w:rPr>
                <w:rFonts w:hint="eastAsia"/>
              </w:rPr>
              <w:t>C</w:t>
            </w:r>
            <w:r>
              <w:rPr>
                <w:rFonts w:hint="eastAsia"/>
              </w:rPr>
              <w:t>类份额）</w:t>
            </w:r>
          </w:p>
        </w:tc>
        <w:tc>
          <w:tcPr>
            <w:tcW w:w="2126" w:type="dxa"/>
            <w:vMerge/>
          </w:tcPr>
          <w:p w:rsidR="0073537D" w:rsidRDefault="0073537D">
            <w:pPr>
              <w:jc w:val="left"/>
            </w:pPr>
          </w:p>
        </w:tc>
      </w:tr>
    </w:tbl>
    <w:p w:rsidR="0073537D" w:rsidRDefault="008A55F2">
      <w:pPr>
        <w:pStyle w:val="-1"/>
        <w:spacing w:after="156"/>
        <w:ind w:left="210"/>
        <w:rPr>
          <w:lang w:val="en-US"/>
        </w:rPr>
      </w:pPr>
      <w:r>
        <w:rPr>
          <w:rFonts w:hint="eastAsia"/>
        </w:rPr>
        <w:t>二、重要提示</w:t>
      </w:r>
    </w:p>
    <w:p w:rsidR="0073537D" w:rsidRDefault="008A55F2">
      <w:pPr>
        <w:pStyle w:val="-"/>
        <w:ind w:firstLine="480"/>
      </w:pPr>
      <w:r>
        <w:rPr>
          <w:rFonts w:hint="eastAsia"/>
        </w:rPr>
        <w:t>1．各基金是否已开放申购、赎回、转换与定期定额投资业务，详见本公司发布的相关公告。</w:t>
      </w:r>
    </w:p>
    <w:p w:rsidR="0073537D" w:rsidRDefault="008A55F2">
      <w:pPr>
        <w:pStyle w:val="-"/>
        <w:ind w:firstLine="480"/>
      </w:pPr>
      <w:r>
        <w:rPr>
          <w:rFonts w:hint="eastAsia"/>
        </w:rPr>
        <w:t>2．本公告主要为基金因港股通非交易日、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73537D" w:rsidRDefault="008A55F2">
      <w:pPr>
        <w:pStyle w:val="-"/>
        <w:ind w:firstLine="480"/>
      </w:pPr>
      <w:r>
        <w:rPr>
          <w:rFonts w:hint="eastAsia"/>
        </w:rPr>
        <w:t>3．若港股通非交易日或境外主要投资市场节假日安排发生变化，本公司将进行相应调整并公告。</w:t>
      </w:r>
    </w:p>
    <w:p w:rsidR="0073537D" w:rsidRDefault="008A55F2">
      <w:pPr>
        <w:pStyle w:val="-"/>
        <w:ind w:firstLine="480"/>
      </w:pPr>
      <w:r>
        <w:rPr>
          <w:rFonts w:hint="eastAsia"/>
        </w:rPr>
        <w:t>4．如有疑问，请拨打客户服务热线：400-887-9555，或登录网站www.cmfchina.com获取相关信息。</w:t>
      </w:r>
    </w:p>
    <w:p w:rsidR="0073537D" w:rsidRDefault="008A55F2">
      <w:pPr>
        <w:pStyle w:val="-"/>
        <w:ind w:firstLine="480"/>
      </w:pPr>
      <w:r>
        <w:rPr>
          <w:rFonts w:hint="eastAsia"/>
        </w:rPr>
        <w:t>特此公告。</w:t>
      </w:r>
    </w:p>
    <w:p w:rsidR="0073537D" w:rsidRDefault="0073537D"/>
    <w:p w:rsidR="0073537D" w:rsidRDefault="0073537D">
      <w:pPr>
        <w:wordWrap w:val="0"/>
        <w:rPr>
          <w:rFonts w:ascii="宋体" w:hAnsi="宋体"/>
          <w:bCs/>
          <w:sz w:val="24"/>
        </w:rPr>
      </w:pPr>
    </w:p>
    <w:p w:rsidR="0073537D" w:rsidRDefault="0073537D">
      <w:pPr>
        <w:wordWrap w:val="0"/>
        <w:jc w:val="right"/>
        <w:rPr>
          <w:rFonts w:ascii="宋体" w:hAnsi="宋体"/>
          <w:bCs/>
          <w:sz w:val="24"/>
        </w:rPr>
      </w:pPr>
    </w:p>
    <w:p w:rsidR="0073537D" w:rsidRDefault="0073537D">
      <w:pPr>
        <w:wordWrap w:val="0"/>
        <w:jc w:val="right"/>
        <w:rPr>
          <w:rFonts w:ascii="宋体" w:hAnsi="宋体"/>
          <w:bCs/>
          <w:sz w:val="24"/>
        </w:rPr>
      </w:pPr>
    </w:p>
    <w:p w:rsidR="0073537D" w:rsidRDefault="008A55F2">
      <w:pPr>
        <w:pStyle w:val="-"/>
        <w:ind w:firstLine="480"/>
        <w:jc w:val="right"/>
        <w:rPr>
          <w:lang w:val="en-US"/>
        </w:rPr>
      </w:pPr>
      <w:r>
        <w:rPr>
          <w:rFonts w:hint="eastAsia"/>
          <w:lang w:val="en-US"/>
        </w:rPr>
        <w:t>招商基金管理有限公司</w:t>
      </w:r>
    </w:p>
    <w:p w:rsidR="0073537D" w:rsidRDefault="008A55F2">
      <w:pPr>
        <w:pStyle w:val="-"/>
        <w:ind w:firstLine="480"/>
        <w:jc w:val="right"/>
        <w:rPr>
          <w:lang w:val="en-US"/>
        </w:rPr>
      </w:pPr>
      <w:r>
        <w:rPr>
          <w:lang w:val="en-US"/>
        </w:rPr>
        <w:t>2025年12月22日</w:t>
      </w:r>
    </w:p>
    <w:sectPr w:rsidR="0073537D" w:rsidSect="00510018">
      <w:footerReference w:type="default" r:id="rId8"/>
      <w:headerReference w:type="first" r:id="rId9"/>
      <w:footerReference w:type="firs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1DF" w:rsidRDefault="004101DF">
      <w:r>
        <w:separator/>
      </w:r>
    </w:p>
  </w:endnote>
  <w:endnote w:type="continuationSeparator" w:id="0">
    <w:p w:rsidR="004101DF" w:rsidRDefault="00410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7D" w:rsidRDefault="008A55F2">
    <w:pPr>
      <w:pStyle w:val="a3"/>
      <w:jc w:val="center"/>
    </w:pPr>
    <w:r>
      <w:rPr>
        <w:rFonts w:hint="eastAsia"/>
      </w:rPr>
      <w:t>第</w:t>
    </w:r>
    <w:r>
      <w:rPr>
        <w:rFonts w:hint="eastAsia"/>
      </w:rPr>
      <w:t xml:space="preserve"> </w:t>
    </w:r>
    <w:r w:rsidR="00510018">
      <w:fldChar w:fldCharType="begin"/>
    </w:r>
    <w:r>
      <w:instrText xml:space="preserve"> </w:instrText>
    </w:r>
    <w:r>
      <w:rPr>
        <w:rFonts w:hint="eastAsia"/>
      </w:rPr>
      <w:instrText>PAGE  \* Arabic  \* MERGEFORMAT</w:instrText>
    </w:r>
    <w:r>
      <w:instrText xml:space="preserve"> </w:instrText>
    </w:r>
    <w:r w:rsidR="00510018">
      <w:fldChar w:fldCharType="separate"/>
    </w:r>
    <w:r w:rsidR="00611721">
      <w:rPr>
        <w:noProof/>
      </w:rPr>
      <w:t>1</w:t>
    </w:r>
    <w:r w:rsidR="00510018">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611721">
        <w:rPr>
          <w:noProof/>
        </w:rPr>
        <w:t>2</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7D" w:rsidRDefault="008A55F2">
    <w:pPr>
      <w:pStyle w:val="a3"/>
      <w:jc w:val="center"/>
    </w:pPr>
    <w:r>
      <w:rPr>
        <w:rFonts w:hint="eastAsia"/>
      </w:rPr>
      <w:t>第</w:t>
    </w:r>
    <w:r>
      <w:rPr>
        <w:rFonts w:hint="eastAsia"/>
      </w:rPr>
      <w:t xml:space="preserve"> </w:t>
    </w:r>
    <w:r w:rsidR="00510018">
      <w:fldChar w:fldCharType="begin"/>
    </w:r>
    <w:r>
      <w:instrText xml:space="preserve"> </w:instrText>
    </w:r>
    <w:r>
      <w:rPr>
        <w:rFonts w:hint="eastAsia"/>
      </w:rPr>
      <w:instrText>PAGE  \* Arabic  \* MERGEFORMAT</w:instrText>
    </w:r>
    <w:r>
      <w:instrText xml:space="preserve"> </w:instrText>
    </w:r>
    <w:r w:rsidR="00510018">
      <w:fldChar w:fldCharType="separate"/>
    </w:r>
    <w:r>
      <w:t>1</w:t>
    </w:r>
    <w:r w:rsidR="00510018">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1DF" w:rsidRDefault="004101DF">
      <w:r>
        <w:separator/>
      </w:r>
    </w:p>
  </w:footnote>
  <w:footnote w:type="continuationSeparator" w:id="0">
    <w:p w:rsidR="004101DF" w:rsidRDefault="00410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7D" w:rsidRDefault="008A55F2">
    <w:pPr>
      <w:pStyle w:val="a4"/>
    </w:pPr>
    <w:r>
      <w:rPr>
        <w:rFonts w:hint="eastAsia"/>
      </w:rPr>
      <w:t>关于旗下部分基金</w:t>
    </w:r>
    <w:r>
      <w:rPr>
        <w:rFonts w:hint="eastAsia"/>
      </w:rPr>
      <w:t>2025</w:t>
    </w:r>
    <w:r>
      <w:rPr>
        <w:rFonts w:hint="eastAsia"/>
      </w:rPr>
      <w:t>年</w:t>
    </w:r>
    <w:r>
      <w:rPr>
        <w:rFonts w:hint="eastAsia"/>
      </w:rPr>
      <w:t>12</w:t>
    </w:r>
    <w:r>
      <w:rPr>
        <w:rFonts w:hint="eastAsia"/>
      </w:rPr>
      <w:t>月</w:t>
    </w:r>
    <w:r>
      <w:rPr>
        <w:rFonts w:hint="eastAsia"/>
      </w:rPr>
      <w:t>24</w:t>
    </w:r>
    <w:r>
      <w:rPr>
        <w:rFonts w:hint="eastAsia"/>
      </w:rPr>
      <w:t>日、</w:t>
    </w:r>
    <w:r>
      <w:rPr>
        <w:rFonts w:hint="eastAsia"/>
      </w:rPr>
      <w:t>2025</w:t>
    </w:r>
    <w:r>
      <w:rPr>
        <w:rFonts w:hint="eastAsia"/>
      </w:rPr>
      <w:t>年</w:t>
    </w:r>
    <w:r>
      <w:rPr>
        <w:rFonts w:hint="eastAsia"/>
      </w:rPr>
      <w:t>12</w:t>
    </w:r>
    <w:r>
      <w:rPr>
        <w:rFonts w:hint="eastAsia"/>
      </w:rPr>
      <w:t>月</w:t>
    </w:r>
    <w:r>
      <w:rPr>
        <w:rFonts w:hint="eastAsia"/>
      </w:rPr>
      <w:t>25</w:t>
    </w:r>
    <w:r>
      <w:rPr>
        <w:rFonts w:hint="eastAsia"/>
      </w:rPr>
      <w:t>日、</w:t>
    </w:r>
    <w:r>
      <w:rPr>
        <w:rFonts w:hint="eastAsia"/>
      </w:rPr>
      <w:t>2025</w:t>
    </w:r>
    <w:r>
      <w:rPr>
        <w:rFonts w:hint="eastAsia"/>
      </w:rPr>
      <w:t>年</w:t>
    </w:r>
    <w:r>
      <w:rPr>
        <w:rFonts w:hint="eastAsia"/>
      </w:rPr>
      <w:t>12</w:t>
    </w:r>
    <w:r>
      <w:rPr>
        <w:rFonts w:hint="eastAsia"/>
      </w:rPr>
      <w:t>月</w:t>
    </w:r>
    <w:r>
      <w:rPr>
        <w:rFonts w:hint="eastAsia"/>
      </w:rPr>
      <w:t>26</w:t>
    </w:r>
    <w:r>
      <w:rPr>
        <w:rFonts w:hint="eastAsia"/>
      </w:rPr>
      <w:t>日因港股通非交易日及境外主要投资市场节假日暂停申购、赎回、转换、定期定额投资业务的公告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37D"/>
    <w:rsid w:val="000E3C62"/>
    <w:rsid w:val="00133463"/>
    <w:rsid w:val="001B0794"/>
    <w:rsid w:val="00223BEC"/>
    <w:rsid w:val="004101DF"/>
    <w:rsid w:val="00510018"/>
    <w:rsid w:val="00552947"/>
    <w:rsid w:val="00611721"/>
    <w:rsid w:val="0073537D"/>
    <w:rsid w:val="008A55F2"/>
    <w:rsid w:val="008E2CB7"/>
    <w:rsid w:val="00D05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18"/>
    <w:pPr>
      <w:jc w:val="both"/>
    </w:pPr>
    <w:rPr>
      <w:sz w:val="21"/>
      <w:szCs w:val="21"/>
    </w:rPr>
  </w:style>
  <w:style w:type="paragraph" w:styleId="1">
    <w:name w:val="heading 1"/>
    <w:basedOn w:val="a"/>
    <w:next w:val="a"/>
    <w:link w:val="1Char"/>
    <w:uiPriority w:val="9"/>
    <w:qFormat/>
    <w:rsid w:val="00510018"/>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510018"/>
    <w:pPr>
      <w:spacing w:before="100" w:beforeAutospacing="1" w:after="100" w:afterAutospacing="1"/>
      <w:jc w:val="left"/>
      <w:outlineLvl w:val="1"/>
    </w:pPr>
    <w:rPr>
      <w:rFonts w:ascii="宋体" w:hAnsi="宋体"/>
      <w:b/>
      <w:bCs/>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0018"/>
    <w:pPr>
      <w:tabs>
        <w:tab w:val="center" w:pos="4153"/>
        <w:tab w:val="right" w:pos="8306"/>
      </w:tabs>
      <w:snapToGrid w:val="0"/>
      <w:jc w:val="left"/>
    </w:pPr>
    <w:rPr>
      <w:sz w:val="18"/>
      <w:szCs w:val="18"/>
    </w:rPr>
  </w:style>
  <w:style w:type="paragraph" w:styleId="a4">
    <w:name w:val="header"/>
    <w:link w:val="Char0"/>
    <w:autoRedefine/>
    <w:rsid w:val="00510018"/>
    <w:pPr>
      <w:adjustRightInd w:val="0"/>
      <w:snapToGrid w:val="0"/>
      <w:spacing w:line="20" w:lineRule="exact"/>
      <w:jc w:val="center"/>
    </w:pPr>
    <w:rPr>
      <w:sz w:val="18"/>
      <w:szCs w:val="18"/>
    </w:rPr>
  </w:style>
  <w:style w:type="paragraph" w:styleId="10">
    <w:name w:val="toc 1"/>
    <w:basedOn w:val="a"/>
    <w:next w:val="a"/>
    <w:autoRedefine/>
    <w:uiPriority w:val="39"/>
    <w:rsid w:val="00510018"/>
  </w:style>
  <w:style w:type="paragraph" w:styleId="20">
    <w:name w:val="toc 2"/>
    <w:basedOn w:val="a"/>
    <w:next w:val="a"/>
    <w:autoRedefine/>
    <w:uiPriority w:val="39"/>
    <w:rsid w:val="00510018"/>
    <w:pPr>
      <w:ind w:leftChars="200" w:left="420"/>
    </w:pPr>
  </w:style>
  <w:style w:type="paragraph" w:styleId="a5">
    <w:name w:val="Normal (Web)"/>
    <w:basedOn w:val="a"/>
    <w:link w:val="Char1"/>
    <w:uiPriority w:val="99"/>
    <w:unhideWhenUsed/>
    <w:rsid w:val="00510018"/>
    <w:pPr>
      <w:spacing w:before="100" w:beforeAutospacing="1" w:after="100" w:afterAutospacing="1"/>
      <w:jc w:val="left"/>
    </w:pPr>
    <w:rPr>
      <w:rFonts w:ascii="宋体" w:hAnsi="宋体"/>
      <w:sz w:val="24"/>
      <w:lang w:val="zh-CN"/>
    </w:rPr>
  </w:style>
  <w:style w:type="paragraph" w:styleId="a6">
    <w:name w:val="Title"/>
    <w:basedOn w:val="a"/>
    <w:next w:val="a"/>
    <w:link w:val="Char2"/>
    <w:qFormat/>
    <w:rsid w:val="00510018"/>
    <w:pPr>
      <w:spacing w:before="240" w:after="60"/>
      <w:jc w:val="center"/>
      <w:outlineLvl w:val="0"/>
    </w:pPr>
    <w:rPr>
      <w:rFonts w:ascii="Cambria" w:hAnsi="Cambria"/>
      <w:b/>
      <w:bCs/>
      <w:sz w:val="32"/>
      <w:szCs w:val="32"/>
    </w:rPr>
  </w:style>
  <w:style w:type="table" w:styleId="a7">
    <w:name w:val="Table Grid"/>
    <w:basedOn w:val="a1"/>
    <w:rsid w:val="00510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510018"/>
    <w:rPr>
      <w:color w:val="0000FF"/>
      <w:u w:val="single"/>
    </w:rPr>
  </w:style>
  <w:style w:type="paragraph" w:customStyle="1" w:styleId="-">
    <w:name w:val="模板-正文"/>
    <w:basedOn w:val="a5"/>
    <w:link w:val="-Char"/>
    <w:qFormat/>
    <w:rsid w:val="00510018"/>
    <w:pPr>
      <w:shd w:val="clear" w:color="auto" w:fill="FFFFFF"/>
      <w:snapToGrid w:val="0"/>
      <w:spacing w:before="0" w:beforeAutospacing="0" w:after="0" w:afterAutospacing="0" w:line="360" w:lineRule="auto"/>
      <w:ind w:firstLineChars="200" w:firstLine="200"/>
      <w:jc w:val="both"/>
    </w:pPr>
    <w:rPr>
      <w:color w:val="222222"/>
    </w:rPr>
  </w:style>
  <w:style w:type="character" w:customStyle="1" w:styleId="2Char">
    <w:name w:val="标题 2 Char"/>
    <w:link w:val="2"/>
    <w:uiPriority w:val="9"/>
    <w:rsid w:val="00510018"/>
    <w:rPr>
      <w:rFonts w:ascii="宋体" w:hAnsi="宋体" w:cs="宋体"/>
      <w:b/>
      <w:bCs/>
      <w:sz w:val="18"/>
      <w:szCs w:val="18"/>
    </w:rPr>
  </w:style>
  <w:style w:type="character" w:customStyle="1" w:styleId="Char1">
    <w:name w:val="普通(网站) Char"/>
    <w:link w:val="a5"/>
    <w:uiPriority w:val="99"/>
    <w:rsid w:val="00510018"/>
    <w:rPr>
      <w:rFonts w:ascii="宋体" w:hAnsi="宋体" w:cs="宋体"/>
      <w:sz w:val="24"/>
      <w:szCs w:val="24"/>
    </w:rPr>
  </w:style>
  <w:style w:type="character" w:customStyle="1" w:styleId="-Char">
    <w:name w:val="模板-正文 Char"/>
    <w:link w:val="-"/>
    <w:rsid w:val="00510018"/>
    <w:rPr>
      <w:rFonts w:ascii="宋体" w:hAnsi="宋体"/>
      <w:color w:val="222222"/>
      <w:sz w:val="24"/>
      <w:szCs w:val="21"/>
      <w:shd w:val="clear" w:color="auto" w:fill="FFFFFF"/>
      <w:lang w:val="zh-CN" w:eastAsia="zh-CN"/>
    </w:rPr>
  </w:style>
  <w:style w:type="character" w:customStyle="1" w:styleId="docorderno">
    <w:name w:val="doc_order_no"/>
    <w:rsid w:val="00510018"/>
  </w:style>
  <w:style w:type="paragraph" w:customStyle="1" w:styleId="-2">
    <w:name w:val="模板-标题 2"/>
    <w:basedOn w:val="2"/>
    <w:link w:val="-2Char"/>
    <w:qFormat/>
    <w:rsid w:val="00510018"/>
    <w:pPr>
      <w:numPr>
        <w:ilvl w:val="1"/>
        <w:numId w:val="1"/>
      </w:numPr>
      <w:shd w:val="clear" w:color="auto" w:fill="FFFFFF"/>
      <w:jc w:val="both"/>
    </w:pPr>
    <w:rPr>
      <w:color w:val="222222"/>
      <w:sz w:val="24"/>
    </w:rPr>
  </w:style>
  <w:style w:type="character" w:customStyle="1" w:styleId="-2Char">
    <w:name w:val="模板-标题 2 Char"/>
    <w:link w:val="-2"/>
    <w:rsid w:val="00510018"/>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510018"/>
    <w:rPr>
      <w:b/>
      <w:bCs/>
      <w:kern w:val="44"/>
      <w:sz w:val="44"/>
      <w:szCs w:val="44"/>
    </w:rPr>
  </w:style>
  <w:style w:type="paragraph" w:customStyle="1" w:styleId="-1">
    <w:name w:val="模板-标题 1"/>
    <w:basedOn w:val="1"/>
    <w:link w:val="-10"/>
    <w:qFormat/>
    <w:rsid w:val="00510018"/>
    <w:pPr>
      <w:keepNext w:val="0"/>
      <w:keepLines w:val="0"/>
      <w:shd w:val="clear" w:color="auto" w:fill="FFFFFF"/>
      <w:adjustRightInd w:val="0"/>
      <w:snapToGrid w:val="0"/>
      <w:spacing w:before="100" w:beforeAutospacing="1" w:afterLines="50" w:line="240" w:lineRule="auto"/>
      <w:ind w:leftChars="100" w:left="100"/>
      <w:jc w:val="left"/>
    </w:pPr>
    <w:rPr>
      <w:rFonts w:ascii="宋体" w:hAnsi="宋体"/>
      <w:color w:val="222222"/>
      <w:kern w:val="36"/>
      <w:sz w:val="24"/>
      <w:szCs w:val="24"/>
    </w:rPr>
  </w:style>
  <w:style w:type="character" w:customStyle="1" w:styleId="-10">
    <w:name w:val="模板-标题 1 字符"/>
    <w:link w:val="-1"/>
    <w:rsid w:val="00510018"/>
    <w:rPr>
      <w:rFonts w:ascii="宋体" w:hAnsi="宋体"/>
      <w:b/>
      <w:bCs/>
      <w:color w:val="222222"/>
      <w:kern w:val="36"/>
      <w:sz w:val="24"/>
      <w:szCs w:val="24"/>
      <w:shd w:val="clear" w:color="auto" w:fill="FFFFFF"/>
      <w:lang w:val="zh-CN" w:eastAsia="zh-CN"/>
    </w:rPr>
  </w:style>
  <w:style w:type="paragraph" w:customStyle="1" w:styleId="-3">
    <w:name w:val="模板-标题 3"/>
    <w:basedOn w:val="a"/>
    <w:link w:val="-3Char"/>
    <w:qFormat/>
    <w:rsid w:val="00510018"/>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rsid w:val="00510018"/>
    <w:rPr>
      <w:b/>
      <w:color w:val="222222"/>
      <w:kern w:val="2"/>
      <w:sz w:val="24"/>
      <w:szCs w:val="18"/>
      <w:lang w:val="zh-CN" w:eastAsia="zh-CN"/>
    </w:rPr>
  </w:style>
  <w:style w:type="table" w:customStyle="1" w:styleId="-0">
    <w:name w:val="模板-表格"/>
    <w:basedOn w:val="a1"/>
    <w:rsid w:val="00510018"/>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rsid w:val="00510018"/>
    <w:rPr>
      <w:sz w:val="18"/>
      <w:szCs w:val="18"/>
    </w:rPr>
  </w:style>
  <w:style w:type="character" w:customStyle="1" w:styleId="Char">
    <w:name w:val="页脚 Char"/>
    <w:link w:val="a3"/>
    <w:rsid w:val="00510018"/>
    <w:rPr>
      <w:kern w:val="2"/>
      <w:sz w:val="18"/>
      <w:szCs w:val="18"/>
    </w:rPr>
  </w:style>
  <w:style w:type="character" w:customStyle="1" w:styleId="Char2">
    <w:name w:val="标题 Char"/>
    <w:link w:val="a6"/>
    <w:rsid w:val="00510018"/>
    <w:rPr>
      <w:rFonts w:ascii="Cambria" w:hAnsi="Cambria" w:cs="Times New Roman"/>
      <w:b/>
      <w:bCs/>
      <w:kern w:val="2"/>
      <w:sz w:val="32"/>
      <w:szCs w:val="32"/>
    </w:rPr>
  </w:style>
  <w:style w:type="paragraph" w:customStyle="1" w:styleId="-7">
    <w:name w:val="模板-标题"/>
    <w:basedOn w:val="a6"/>
    <w:qFormat/>
    <w:rsid w:val="00510018"/>
    <w:pPr>
      <w:outlineLvl w:val="9"/>
    </w:pPr>
  </w:style>
  <w:style w:type="paragraph" w:customStyle="1" w:styleId="-4">
    <w:name w:val="模板-标题 4"/>
    <w:basedOn w:val="a"/>
    <w:qFormat/>
    <w:rsid w:val="00510018"/>
    <w:pPr>
      <w:numPr>
        <w:ilvl w:val="3"/>
        <w:numId w:val="1"/>
      </w:numPr>
    </w:pPr>
    <w:rPr>
      <w:b/>
      <w:sz w:val="24"/>
    </w:rPr>
  </w:style>
  <w:style w:type="paragraph" w:customStyle="1" w:styleId="-5">
    <w:name w:val="模板-标题 5"/>
    <w:basedOn w:val="-4"/>
    <w:qFormat/>
    <w:rsid w:val="00510018"/>
    <w:pPr>
      <w:numPr>
        <w:ilvl w:val="4"/>
      </w:numPr>
    </w:pPr>
  </w:style>
  <w:style w:type="paragraph" w:customStyle="1" w:styleId="-6">
    <w:name w:val="模板-标题 6"/>
    <w:basedOn w:val="-5"/>
    <w:qFormat/>
    <w:rsid w:val="00510018"/>
    <w:pPr>
      <w:numPr>
        <w:ilvl w:val="5"/>
      </w:numPr>
    </w:pPr>
  </w:style>
  <w:style w:type="table" w:customStyle="1" w:styleId="-noheader">
    <w:name w:val="模板-表格_noheader"/>
    <w:basedOn w:val="a1"/>
    <w:rsid w:val="00510018"/>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510018"/>
    <w:pPr>
      <w:ind w:firstLineChars="0" w:firstLine="0"/>
    </w:pPr>
  </w:style>
  <w:style w:type="character" w:customStyle="1" w:styleId="-Char0">
    <w:name w:val="模板-正文无缩进 Char"/>
    <w:basedOn w:val="-Char"/>
    <w:link w:val="-8"/>
    <w:rsid w:val="00510018"/>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7AC2-84D2-4C41-BD5B-ADBB684F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4</DocSecurity>
  <Lines>11</Lines>
  <Paragraphs>3</Paragraphs>
  <ScaleCrop>false</ScaleCrop>
  <Company>MC SYSTEM</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ZHONGM</cp:lastModifiedBy>
  <cp:revision>2</cp:revision>
  <dcterms:created xsi:type="dcterms:W3CDTF">2025-12-21T16:01:00Z</dcterms:created>
  <dcterms:modified xsi:type="dcterms:W3CDTF">2025-12-21T16:01:00Z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357610FC8F374DF297B8F20E462A6651_12</vt:lpwstr>
  </property>
</Properties>
</file>