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34" w:rsidRDefault="000260CE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财通资管鸿达纯债债券型证券投资基金暂停大额申购、转换转入、定期定额投资业务公告</w:t>
      </w:r>
    </w:p>
    <w:p w:rsidR="00EE0F34" w:rsidRDefault="000260CE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公告送出日期：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20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25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 w:rsidR="00A557B1"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 w:rsidR="00A557B1"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</w:t>
      </w:r>
    </w:p>
    <w:p w:rsidR="00EE0F34" w:rsidRDefault="00EE0F34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EE0F34" w:rsidRDefault="000260CE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1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835"/>
        <w:gridCol w:w="1098"/>
        <w:gridCol w:w="1098"/>
        <w:gridCol w:w="1098"/>
        <w:gridCol w:w="1100"/>
      </w:tblGrid>
      <w:tr w:rsidR="00EE0F34">
        <w:tc>
          <w:tcPr>
            <w:tcW w:w="4395" w:type="dxa"/>
            <w:gridSpan w:val="2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394" w:type="dxa"/>
            <w:gridSpan w:val="4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财通资管鸿达纯债债券型证券投资基金</w:t>
            </w:r>
          </w:p>
        </w:tc>
      </w:tr>
      <w:tr w:rsidR="00EE0F34">
        <w:tc>
          <w:tcPr>
            <w:tcW w:w="4395" w:type="dxa"/>
            <w:gridSpan w:val="2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394" w:type="dxa"/>
            <w:gridSpan w:val="4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</w:p>
        </w:tc>
      </w:tr>
      <w:tr w:rsidR="00EE0F34">
        <w:tc>
          <w:tcPr>
            <w:tcW w:w="4395" w:type="dxa"/>
            <w:gridSpan w:val="2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394" w:type="dxa"/>
            <w:gridSpan w:val="4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005307</w:t>
            </w:r>
          </w:p>
        </w:tc>
      </w:tr>
      <w:tr w:rsidR="00EE0F34">
        <w:tc>
          <w:tcPr>
            <w:tcW w:w="4395" w:type="dxa"/>
            <w:gridSpan w:val="2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4394" w:type="dxa"/>
            <w:gridSpan w:val="4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财通证券资产管理有限公司</w:t>
            </w:r>
          </w:p>
        </w:tc>
      </w:tr>
      <w:tr w:rsidR="00EE0F34">
        <w:tc>
          <w:tcPr>
            <w:tcW w:w="4395" w:type="dxa"/>
            <w:gridSpan w:val="2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394" w:type="dxa"/>
            <w:gridSpan w:val="4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《公开募集证券投资基金信息披露管理办法》、《财通资管鸿达纯债债券型证券投资基金基金合同》、《财通资管鸿达纯债债券型证券投资基金招募说明书》等。</w:t>
            </w:r>
          </w:p>
        </w:tc>
      </w:tr>
      <w:tr w:rsidR="00EE0F34">
        <w:trPr>
          <w:trHeight w:val="806"/>
        </w:trPr>
        <w:tc>
          <w:tcPr>
            <w:tcW w:w="1560" w:type="dxa"/>
            <w:vMerge w:val="restart"/>
          </w:tcPr>
          <w:p w:rsidR="00EE0F34" w:rsidRDefault="000260C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2835" w:type="dxa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暂停大额申购（含转换转入、定期定额投资）起始日</w:t>
            </w:r>
          </w:p>
        </w:tc>
        <w:tc>
          <w:tcPr>
            <w:tcW w:w="4394" w:type="dxa"/>
            <w:gridSpan w:val="4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年</w:t>
            </w:r>
            <w:r w:rsidR="00A557B1"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月</w:t>
            </w:r>
            <w:r w:rsidR="00A557B1"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22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317FE3">
        <w:trPr>
          <w:trHeight w:val="806"/>
        </w:trPr>
        <w:tc>
          <w:tcPr>
            <w:tcW w:w="1560" w:type="dxa"/>
            <w:vMerge/>
          </w:tcPr>
          <w:p w:rsidR="00317FE3" w:rsidRDefault="00317FE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7FE3" w:rsidRDefault="00317FE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限制申购（含转换转入、定期定额投资）金额（单位：元）</w:t>
            </w:r>
          </w:p>
        </w:tc>
        <w:tc>
          <w:tcPr>
            <w:tcW w:w="4394" w:type="dxa"/>
            <w:gridSpan w:val="4"/>
          </w:tcPr>
          <w:p w:rsidR="00317FE3" w:rsidRDefault="00317FE3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10,000.00</w:t>
            </w:r>
          </w:p>
        </w:tc>
      </w:tr>
      <w:tr w:rsidR="00EE0F34">
        <w:tc>
          <w:tcPr>
            <w:tcW w:w="1560" w:type="dxa"/>
            <w:vMerge/>
          </w:tcPr>
          <w:p w:rsidR="00EE0F34" w:rsidRDefault="00EE0F34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暂停大额申购（含转换转入、定期定额投资）的原因说明</w:t>
            </w:r>
          </w:p>
        </w:tc>
        <w:tc>
          <w:tcPr>
            <w:tcW w:w="4394" w:type="dxa"/>
            <w:gridSpan w:val="4"/>
          </w:tcPr>
          <w:p w:rsidR="00EE0F34" w:rsidRDefault="000260C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为维护财通资管鸿达纯债债券型证券投资基金的稳定运作，保护基金份额持有人的利益。</w:t>
            </w:r>
          </w:p>
        </w:tc>
      </w:tr>
      <w:tr w:rsidR="00EE0F34">
        <w:trPr>
          <w:trHeight w:val="485"/>
        </w:trPr>
        <w:tc>
          <w:tcPr>
            <w:tcW w:w="4395" w:type="dxa"/>
            <w:gridSpan w:val="2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下属分级基金的基金简称</w:t>
            </w:r>
          </w:p>
        </w:tc>
        <w:tc>
          <w:tcPr>
            <w:tcW w:w="1098" w:type="dxa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098" w:type="dxa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098" w:type="dxa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E</w:t>
            </w:r>
          </w:p>
        </w:tc>
        <w:tc>
          <w:tcPr>
            <w:tcW w:w="1100" w:type="dxa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EE0F34">
        <w:trPr>
          <w:trHeight w:val="504"/>
        </w:trPr>
        <w:tc>
          <w:tcPr>
            <w:tcW w:w="4395" w:type="dxa"/>
            <w:gridSpan w:val="2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下属分级基金的交易代码</w:t>
            </w:r>
          </w:p>
        </w:tc>
        <w:tc>
          <w:tcPr>
            <w:tcW w:w="1098" w:type="dxa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00530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005308</w:t>
            </w:r>
          </w:p>
        </w:tc>
        <w:tc>
          <w:tcPr>
            <w:tcW w:w="1098" w:type="dxa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005882</w:t>
            </w:r>
          </w:p>
        </w:tc>
        <w:tc>
          <w:tcPr>
            <w:tcW w:w="1100" w:type="dxa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011067</w:t>
            </w:r>
          </w:p>
        </w:tc>
      </w:tr>
      <w:tr w:rsidR="00EE0F34">
        <w:tc>
          <w:tcPr>
            <w:tcW w:w="4395" w:type="dxa"/>
            <w:gridSpan w:val="2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该分级基金是否暂停（大额）申购</w:t>
            </w:r>
          </w:p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（含转换转入、定期定额投资）</w:t>
            </w:r>
          </w:p>
        </w:tc>
        <w:tc>
          <w:tcPr>
            <w:tcW w:w="1098" w:type="dxa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98" w:type="dxa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98" w:type="dxa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00" w:type="dxa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E0F34">
        <w:tc>
          <w:tcPr>
            <w:tcW w:w="4395" w:type="dxa"/>
            <w:gridSpan w:val="2"/>
          </w:tcPr>
          <w:p w:rsidR="00EE0F34" w:rsidRDefault="000260C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下属分级基金的限制申购（含转换转入、定期定额投资）金额（单位：元）</w:t>
            </w:r>
          </w:p>
        </w:tc>
        <w:tc>
          <w:tcPr>
            <w:tcW w:w="1098" w:type="dxa"/>
          </w:tcPr>
          <w:p w:rsidR="00EE0F34" w:rsidRDefault="00A557B1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10,000.00</w:t>
            </w:r>
          </w:p>
        </w:tc>
        <w:tc>
          <w:tcPr>
            <w:tcW w:w="1098" w:type="dxa"/>
          </w:tcPr>
          <w:p w:rsidR="00EE0F34" w:rsidRDefault="00A557B1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10,000.00</w:t>
            </w:r>
          </w:p>
        </w:tc>
        <w:tc>
          <w:tcPr>
            <w:tcW w:w="1098" w:type="dxa"/>
          </w:tcPr>
          <w:p w:rsidR="00EE0F34" w:rsidRDefault="00A557B1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10,000.00</w:t>
            </w:r>
          </w:p>
        </w:tc>
        <w:tc>
          <w:tcPr>
            <w:tcW w:w="1100" w:type="dxa"/>
          </w:tcPr>
          <w:p w:rsidR="00EE0F34" w:rsidRDefault="00A557B1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10,000.00</w:t>
            </w:r>
          </w:p>
        </w:tc>
      </w:tr>
    </w:tbl>
    <w:p w:rsidR="00EE0F34" w:rsidRDefault="000260CE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bCs/>
          <w:color w:val="000000"/>
          <w:kern w:val="0"/>
          <w:sz w:val="24"/>
          <w:szCs w:val="24"/>
        </w:rPr>
        <w:t>注：</w:t>
      </w:r>
    </w:p>
    <w:p w:rsidR="00EE0F34" w:rsidRDefault="000260CE">
      <w:pPr>
        <w:numPr>
          <w:ilvl w:val="0"/>
          <w:numId w:val="1"/>
        </w:numPr>
        <w:autoSpaceDE w:val="0"/>
        <w:autoSpaceDN w:val="0"/>
        <w:adjustRightInd w:val="0"/>
        <w:spacing w:before="30" w:line="360" w:lineRule="auto"/>
        <w:ind w:left="15"/>
        <w:rPr>
          <w:rFonts w:ascii="宋体" w:eastAsia="宋体" w:hAnsi="Arial" w:cs="宋体"/>
          <w:kern w:val="0"/>
          <w:sz w:val="24"/>
          <w:szCs w:val="24"/>
        </w:rPr>
      </w:pPr>
      <w:r>
        <w:rPr>
          <w:rFonts w:ascii="宋体" w:eastAsia="宋体" w:hAnsi="Arial" w:cs="宋体"/>
          <w:kern w:val="0"/>
          <w:sz w:val="24"/>
          <w:szCs w:val="24"/>
        </w:rPr>
        <w:t>根据法律法规和基金合同的相关规定，自</w:t>
      </w:r>
      <w:r>
        <w:rPr>
          <w:rFonts w:ascii="宋体" w:eastAsia="宋体" w:hAnsi="Arial" w:cs="宋体"/>
          <w:kern w:val="0"/>
          <w:sz w:val="24"/>
          <w:szCs w:val="24"/>
        </w:rPr>
        <w:t>202</w:t>
      </w:r>
      <w:r>
        <w:rPr>
          <w:rFonts w:ascii="宋体" w:eastAsia="宋体" w:hAnsi="Arial" w:cs="宋体" w:hint="eastAsia"/>
          <w:kern w:val="0"/>
          <w:sz w:val="24"/>
          <w:szCs w:val="24"/>
        </w:rPr>
        <w:t>5</w:t>
      </w:r>
      <w:r>
        <w:rPr>
          <w:rFonts w:ascii="宋体" w:eastAsia="宋体" w:hAnsi="Arial" w:cs="宋体"/>
          <w:kern w:val="0"/>
          <w:sz w:val="24"/>
          <w:szCs w:val="24"/>
        </w:rPr>
        <w:t>年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12</w:t>
      </w:r>
      <w:r>
        <w:rPr>
          <w:rFonts w:ascii="宋体" w:eastAsia="宋体" w:hAnsi="Arial" w:cs="宋体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kern w:val="0"/>
          <w:sz w:val="24"/>
          <w:szCs w:val="24"/>
        </w:rPr>
        <w:t>2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2</w:t>
      </w:r>
      <w:r>
        <w:rPr>
          <w:rFonts w:ascii="宋体" w:eastAsia="宋体" w:hAnsi="Arial" w:cs="宋体"/>
          <w:kern w:val="0"/>
          <w:sz w:val="24"/>
          <w:szCs w:val="24"/>
        </w:rPr>
        <w:t>日起，财通证券资产管理有限公司（以下简称本公司）将调整</w:t>
      </w:r>
      <w:r>
        <w:rPr>
          <w:rFonts w:ascii="宋体" w:eastAsia="宋体" w:hAnsi="Arial" w:cs="宋体" w:hint="eastAsia"/>
          <w:kern w:val="0"/>
          <w:sz w:val="24"/>
          <w:szCs w:val="24"/>
        </w:rPr>
        <w:t>财通资管鸿达纯债债券型证券投资基</w:t>
      </w:r>
      <w:r>
        <w:rPr>
          <w:rFonts w:ascii="宋体" w:eastAsia="宋体" w:hAnsi="Arial" w:cs="宋体" w:hint="eastAsia"/>
          <w:kern w:val="0"/>
          <w:sz w:val="24"/>
          <w:szCs w:val="24"/>
        </w:rPr>
        <w:lastRenderedPageBreak/>
        <w:t>金</w:t>
      </w:r>
      <w:r>
        <w:rPr>
          <w:rFonts w:ascii="宋体" w:eastAsia="宋体" w:hAnsi="Arial" w:cs="宋体"/>
          <w:kern w:val="0"/>
          <w:sz w:val="24"/>
          <w:szCs w:val="24"/>
        </w:rPr>
        <w:t>（以下简称本基金）</w:t>
      </w:r>
      <w:r>
        <w:rPr>
          <w:rFonts w:ascii="宋体" w:eastAsia="宋体" w:hAnsi="Arial" w:cs="宋体"/>
          <w:kern w:val="0"/>
          <w:sz w:val="24"/>
          <w:szCs w:val="24"/>
        </w:rPr>
        <w:t>A</w:t>
      </w:r>
      <w:r>
        <w:rPr>
          <w:rFonts w:ascii="宋体" w:eastAsia="宋体" w:hAnsi="Arial" w:cs="宋体"/>
          <w:kern w:val="0"/>
          <w:sz w:val="24"/>
          <w:szCs w:val="24"/>
        </w:rPr>
        <w:t>类、</w:t>
      </w:r>
      <w:r>
        <w:rPr>
          <w:rFonts w:ascii="宋体" w:eastAsia="宋体" w:hAnsi="Arial" w:cs="宋体"/>
          <w:kern w:val="0"/>
          <w:sz w:val="24"/>
          <w:szCs w:val="24"/>
        </w:rPr>
        <w:t>C</w:t>
      </w:r>
      <w:r>
        <w:rPr>
          <w:rFonts w:ascii="宋体" w:eastAsia="宋体" w:hAnsi="Arial" w:cs="宋体"/>
          <w:kern w:val="0"/>
          <w:sz w:val="24"/>
          <w:szCs w:val="24"/>
        </w:rPr>
        <w:t>类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kern w:val="0"/>
          <w:sz w:val="24"/>
          <w:szCs w:val="24"/>
        </w:rPr>
        <w:t>类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、I类</w:t>
      </w:r>
      <w:r>
        <w:rPr>
          <w:rFonts w:ascii="宋体" w:eastAsia="宋体" w:hAnsi="Arial" w:cs="宋体"/>
          <w:kern w:val="0"/>
          <w:sz w:val="24"/>
          <w:szCs w:val="24"/>
        </w:rPr>
        <w:t>份额在</w:t>
      </w:r>
      <w:r w:rsidR="00CF0AB6">
        <w:rPr>
          <w:rFonts w:ascii="宋体" w:eastAsia="宋体" w:hAnsi="Arial" w:cs="宋体" w:hint="eastAsia"/>
          <w:kern w:val="0"/>
          <w:sz w:val="24"/>
          <w:szCs w:val="24"/>
        </w:rPr>
        <w:t>“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上海万得</w:t>
      </w:r>
      <w:r>
        <w:rPr>
          <w:rFonts w:ascii="宋体" w:eastAsia="宋体" w:hAnsi="Arial" w:cs="宋体" w:hint="eastAsia"/>
          <w:kern w:val="0"/>
          <w:sz w:val="24"/>
          <w:szCs w:val="24"/>
        </w:rPr>
        <w:t>基金销售有限公司</w:t>
      </w:r>
      <w:r w:rsidR="00CF0AB6">
        <w:rPr>
          <w:rFonts w:ascii="宋体" w:eastAsia="宋体" w:hAnsi="Arial" w:cs="宋体" w:hint="eastAsia"/>
          <w:kern w:val="0"/>
          <w:sz w:val="24"/>
          <w:szCs w:val="24"/>
        </w:rPr>
        <w:t>”</w:t>
      </w:r>
      <w:r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渠道</w:t>
      </w:r>
      <w:r>
        <w:rPr>
          <w:rFonts w:ascii="宋体" w:eastAsia="宋体" w:hAnsi="Arial" w:cs="宋体"/>
          <w:kern w:val="0"/>
          <w:sz w:val="24"/>
          <w:szCs w:val="24"/>
        </w:rPr>
        <w:t>办理的大额申购（含转换转入、定期定额投资）业务。届时起，若单日单个基金账户单个渠道的单笔申购（含转换转入、定期定额投资）金额超过人民币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万元（不含）的，本公司将有权对超过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万元的部分予以拒绝。若单日单个基金账户单个渠道多笔累计申购（含转换转入、定期定额投资）金额超过人民币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万元的，则对申请按照申请金额从大到小排序，逐笔累加至符合不超过人民币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万元</w:t>
      </w:r>
      <w:r>
        <w:rPr>
          <w:rFonts w:ascii="宋体" w:eastAsia="宋体" w:hAnsi="Arial" w:cs="宋体"/>
          <w:kern w:val="0"/>
          <w:sz w:val="24"/>
          <w:szCs w:val="24"/>
        </w:rPr>
        <w:t>(</w:t>
      </w:r>
      <w:r>
        <w:rPr>
          <w:rFonts w:ascii="宋体" w:eastAsia="宋体" w:hAnsi="Arial" w:cs="宋体"/>
          <w:kern w:val="0"/>
          <w:sz w:val="24"/>
          <w:szCs w:val="24"/>
        </w:rPr>
        <w:t>含</w:t>
      </w:r>
      <w:r>
        <w:rPr>
          <w:rFonts w:ascii="宋体" w:eastAsia="宋体" w:hAnsi="Arial" w:cs="宋体"/>
          <w:kern w:val="0"/>
          <w:sz w:val="24"/>
          <w:szCs w:val="24"/>
        </w:rPr>
        <w:t>)</w:t>
      </w:r>
      <w:r>
        <w:rPr>
          <w:rFonts w:ascii="宋体" w:eastAsia="宋体" w:hAnsi="Arial" w:cs="宋体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万元的部分及其余笔数本公司将有权予以拒绝。本基金</w:t>
      </w:r>
      <w:r>
        <w:rPr>
          <w:rFonts w:ascii="宋体" w:eastAsia="宋体" w:hAnsi="Arial" w:cs="宋体"/>
          <w:kern w:val="0"/>
          <w:sz w:val="24"/>
          <w:szCs w:val="24"/>
        </w:rPr>
        <w:t>A</w:t>
      </w:r>
      <w:r>
        <w:rPr>
          <w:rFonts w:ascii="宋体" w:eastAsia="宋体" w:hAnsi="Arial" w:cs="宋体"/>
          <w:kern w:val="0"/>
          <w:sz w:val="24"/>
          <w:szCs w:val="24"/>
        </w:rPr>
        <w:t>类、</w:t>
      </w:r>
      <w:r>
        <w:rPr>
          <w:rFonts w:ascii="宋体" w:eastAsia="宋体" w:hAnsi="Arial" w:cs="宋体"/>
          <w:kern w:val="0"/>
          <w:sz w:val="24"/>
          <w:szCs w:val="24"/>
        </w:rPr>
        <w:t>C</w:t>
      </w:r>
      <w:r>
        <w:rPr>
          <w:rFonts w:ascii="宋体" w:eastAsia="宋体" w:hAnsi="Arial" w:cs="宋体"/>
          <w:kern w:val="0"/>
          <w:sz w:val="24"/>
          <w:szCs w:val="24"/>
        </w:rPr>
        <w:t>类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kern w:val="0"/>
          <w:sz w:val="24"/>
          <w:szCs w:val="24"/>
        </w:rPr>
        <w:t>类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、I类</w:t>
      </w:r>
      <w:r>
        <w:rPr>
          <w:rFonts w:ascii="宋体" w:eastAsia="宋体" w:hAnsi="Arial" w:cs="宋体" w:hint="eastAsia"/>
          <w:kern w:val="0"/>
          <w:sz w:val="24"/>
          <w:szCs w:val="24"/>
        </w:rPr>
        <w:t>份额</w:t>
      </w:r>
      <w:r>
        <w:rPr>
          <w:rFonts w:ascii="宋体" w:eastAsia="宋体" w:hAnsi="Arial" w:cs="宋体"/>
          <w:kern w:val="0"/>
          <w:sz w:val="24"/>
          <w:szCs w:val="24"/>
        </w:rPr>
        <w:t>分别单独判断。</w:t>
      </w:r>
    </w:p>
    <w:p w:rsidR="00EE0F34" w:rsidRDefault="000260CE">
      <w:pPr>
        <w:numPr>
          <w:ilvl w:val="0"/>
          <w:numId w:val="1"/>
        </w:numPr>
        <w:autoSpaceDE w:val="0"/>
        <w:autoSpaceDN w:val="0"/>
        <w:adjustRightInd w:val="0"/>
        <w:spacing w:before="30" w:line="360" w:lineRule="auto"/>
        <w:ind w:left="15"/>
        <w:rPr>
          <w:rFonts w:ascii="宋体" w:eastAsia="宋体" w:hAnsi="Arial" w:cs="宋体"/>
          <w:kern w:val="0"/>
          <w:sz w:val="24"/>
          <w:szCs w:val="24"/>
        </w:rPr>
      </w:pPr>
      <w:r>
        <w:rPr>
          <w:rFonts w:ascii="宋体" w:eastAsia="宋体" w:hAnsi="Arial" w:cs="宋体"/>
          <w:kern w:val="0"/>
          <w:sz w:val="24"/>
          <w:szCs w:val="24"/>
        </w:rPr>
        <w:t>自</w:t>
      </w:r>
      <w:r>
        <w:rPr>
          <w:rFonts w:ascii="宋体" w:eastAsia="宋体" w:hAnsi="Arial" w:cs="宋体"/>
          <w:kern w:val="0"/>
          <w:sz w:val="24"/>
          <w:szCs w:val="24"/>
        </w:rPr>
        <w:t>202</w:t>
      </w:r>
      <w:r>
        <w:rPr>
          <w:rFonts w:ascii="宋体" w:eastAsia="宋体" w:hAnsi="Arial" w:cs="宋体" w:hint="eastAsia"/>
          <w:kern w:val="0"/>
          <w:sz w:val="24"/>
          <w:szCs w:val="24"/>
        </w:rPr>
        <w:t>5</w:t>
      </w:r>
      <w:r>
        <w:rPr>
          <w:rFonts w:ascii="宋体" w:eastAsia="宋体" w:hAnsi="Arial" w:cs="宋体"/>
          <w:kern w:val="0"/>
          <w:sz w:val="24"/>
          <w:szCs w:val="24"/>
        </w:rPr>
        <w:t>年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12</w:t>
      </w:r>
      <w:r>
        <w:rPr>
          <w:rFonts w:ascii="宋体" w:eastAsia="宋体" w:hAnsi="Arial" w:cs="宋体"/>
          <w:kern w:val="0"/>
          <w:sz w:val="24"/>
          <w:szCs w:val="24"/>
        </w:rPr>
        <w:t>月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22</w:t>
      </w:r>
      <w:r>
        <w:rPr>
          <w:rFonts w:ascii="宋体" w:eastAsia="宋体" w:hAnsi="Arial" w:cs="宋体"/>
          <w:kern w:val="0"/>
          <w:sz w:val="24"/>
          <w:szCs w:val="24"/>
        </w:rPr>
        <w:t>日起，本公司将调整本基金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I</w:t>
      </w:r>
      <w:r>
        <w:rPr>
          <w:rFonts w:ascii="宋体" w:eastAsia="宋体" w:hAnsi="Arial" w:cs="宋体" w:hint="eastAsia"/>
          <w:kern w:val="0"/>
          <w:sz w:val="24"/>
          <w:szCs w:val="24"/>
        </w:rPr>
        <w:t>类份额</w:t>
      </w:r>
      <w:r>
        <w:rPr>
          <w:rFonts w:ascii="宋体" w:eastAsia="宋体" w:hAnsi="Arial" w:cs="宋体"/>
          <w:kern w:val="0"/>
          <w:sz w:val="24"/>
          <w:szCs w:val="24"/>
        </w:rPr>
        <w:t>在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除</w:t>
      </w:r>
      <w:r>
        <w:rPr>
          <w:rFonts w:ascii="宋体" w:eastAsia="宋体" w:hAnsi="Arial" w:cs="宋体"/>
          <w:kern w:val="0"/>
          <w:sz w:val="24"/>
          <w:szCs w:val="24"/>
        </w:rPr>
        <w:t>“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上海万得基金销售有限公司</w:t>
      </w:r>
      <w:r>
        <w:rPr>
          <w:rFonts w:ascii="宋体" w:eastAsia="宋体" w:hAnsi="Arial" w:cs="宋体"/>
          <w:kern w:val="0"/>
          <w:sz w:val="24"/>
          <w:szCs w:val="24"/>
        </w:rPr>
        <w:t>”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以外其他销售渠道</w:t>
      </w:r>
      <w:r>
        <w:rPr>
          <w:rFonts w:ascii="宋体" w:eastAsia="宋体" w:hAnsi="Arial" w:cs="宋体"/>
          <w:kern w:val="0"/>
          <w:sz w:val="24"/>
          <w:szCs w:val="24"/>
        </w:rPr>
        <w:t>办理的大额申购（含转换转入、定期定额投资）业务。届时起，若单日单个基金账户单个渠道单笔申购（含转换转入、定期定额投资）金额超过人民币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2亿</w:t>
      </w:r>
      <w:r>
        <w:rPr>
          <w:rFonts w:ascii="宋体" w:eastAsia="宋体" w:hAnsi="Arial" w:cs="宋体"/>
          <w:kern w:val="0"/>
          <w:sz w:val="24"/>
          <w:szCs w:val="24"/>
        </w:rPr>
        <w:t>元（不含）的，本公司将有权对超过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2亿</w:t>
      </w:r>
      <w:r>
        <w:rPr>
          <w:rFonts w:ascii="宋体" w:eastAsia="宋体" w:hAnsi="Arial" w:cs="宋体"/>
          <w:kern w:val="0"/>
          <w:sz w:val="24"/>
          <w:szCs w:val="24"/>
        </w:rPr>
        <w:t>元的部分予以拒绝。若单日单个基金账户单个渠道多笔累计申购（含转换转入、定期定额投资）金额超过人民币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2亿</w:t>
      </w:r>
      <w:r>
        <w:rPr>
          <w:rFonts w:ascii="宋体" w:eastAsia="宋体" w:hAnsi="Arial" w:cs="宋体"/>
          <w:kern w:val="0"/>
          <w:sz w:val="24"/>
          <w:szCs w:val="24"/>
        </w:rPr>
        <w:t>元的，则对申请按照申请金额从大到小排序，逐笔累加至符合不超过人民币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2亿</w:t>
      </w:r>
      <w:r>
        <w:rPr>
          <w:rFonts w:ascii="宋体" w:eastAsia="宋体" w:hAnsi="Arial" w:cs="宋体"/>
          <w:kern w:val="0"/>
          <w:sz w:val="24"/>
          <w:szCs w:val="24"/>
        </w:rPr>
        <w:t>元</w:t>
      </w:r>
      <w:r>
        <w:rPr>
          <w:rFonts w:ascii="宋体" w:eastAsia="宋体" w:hAnsi="Arial" w:cs="宋体"/>
          <w:kern w:val="0"/>
          <w:sz w:val="24"/>
          <w:szCs w:val="24"/>
        </w:rPr>
        <w:t>(</w:t>
      </w:r>
      <w:r>
        <w:rPr>
          <w:rFonts w:ascii="宋体" w:eastAsia="宋体" w:hAnsi="Arial" w:cs="宋体"/>
          <w:kern w:val="0"/>
          <w:sz w:val="24"/>
          <w:szCs w:val="24"/>
        </w:rPr>
        <w:t>含</w:t>
      </w:r>
      <w:r>
        <w:rPr>
          <w:rFonts w:ascii="宋体" w:eastAsia="宋体" w:hAnsi="Arial" w:cs="宋体"/>
          <w:kern w:val="0"/>
          <w:sz w:val="24"/>
          <w:szCs w:val="24"/>
        </w:rPr>
        <w:t>)</w:t>
      </w:r>
      <w:r>
        <w:rPr>
          <w:rFonts w:ascii="宋体" w:eastAsia="宋体" w:hAnsi="Arial" w:cs="宋体"/>
          <w:kern w:val="0"/>
          <w:sz w:val="24"/>
          <w:szCs w:val="24"/>
        </w:rPr>
        <w:t>限额的申请确认成功，对超过</w:t>
      </w:r>
      <w:r w:rsidR="00A557B1">
        <w:rPr>
          <w:rFonts w:ascii="宋体" w:eastAsia="宋体" w:hAnsi="Arial" w:cs="宋体" w:hint="eastAsia"/>
          <w:kern w:val="0"/>
          <w:sz w:val="24"/>
          <w:szCs w:val="24"/>
        </w:rPr>
        <w:t>2亿</w:t>
      </w:r>
      <w:r>
        <w:rPr>
          <w:rFonts w:ascii="宋体" w:eastAsia="宋体" w:hAnsi="Arial" w:cs="宋体"/>
          <w:kern w:val="0"/>
          <w:sz w:val="24"/>
          <w:szCs w:val="24"/>
        </w:rPr>
        <w:t>元的部分及其余笔数本公司将有权予以拒绝。</w:t>
      </w:r>
    </w:p>
    <w:p w:rsidR="00EE0F34" w:rsidRDefault="000260CE" w:rsidP="00CF0AB6">
      <w:pPr>
        <w:pStyle w:val="neirong"/>
        <w:ind w:firstLineChars="200" w:firstLine="480"/>
      </w:pPr>
      <w:r>
        <w:rPr>
          <w:rFonts w:hAnsi="Arial" w:hint="eastAsia"/>
        </w:rPr>
        <w:t>上述大额申购（含转换转入、定期定额投资）业务自</w:t>
      </w:r>
      <w:r>
        <w:rPr>
          <w:rFonts w:hAnsi="Arial" w:hint="eastAsia"/>
        </w:rPr>
        <w:t>2025</w:t>
      </w:r>
      <w:r>
        <w:rPr>
          <w:rFonts w:hAnsi="Arial" w:hint="eastAsia"/>
        </w:rPr>
        <w:t>年</w:t>
      </w:r>
      <w:r>
        <w:rPr>
          <w:rFonts w:hAnsi="Arial" w:hint="eastAsia"/>
        </w:rPr>
        <w:t>1</w:t>
      </w:r>
      <w:r w:rsidR="00D6699B">
        <w:rPr>
          <w:rFonts w:hAnsi="Arial" w:hint="eastAsia"/>
        </w:rPr>
        <w:t>2</w:t>
      </w:r>
      <w:r>
        <w:rPr>
          <w:rFonts w:hAnsi="Arial" w:hint="eastAsia"/>
        </w:rPr>
        <w:t>月</w:t>
      </w:r>
      <w:r w:rsidR="00D6699B">
        <w:rPr>
          <w:rFonts w:hAnsi="Arial" w:hint="eastAsia"/>
        </w:rPr>
        <w:t>2</w:t>
      </w:r>
      <w:r>
        <w:rPr>
          <w:rFonts w:hAnsi="Arial" w:hint="eastAsia"/>
        </w:rPr>
        <w:t>9</w:t>
      </w:r>
      <w:r>
        <w:rPr>
          <w:rFonts w:hAnsi="Arial" w:hint="eastAsia"/>
        </w:rPr>
        <w:t>日起恢复。届时起，根据</w:t>
      </w:r>
      <w:r>
        <w:rPr>
          <w:rFonts w:hAnsi="Arial" w:hint="eastAsia"/>
        </w:rPr>
        <w:t>2</w:t>
      </w:r>
      <w:r>
        <w:rPr>
          <w:rFonts w:hAnsi="Arial"/>
        </w:rPr>
        <w:t>02</w:t>
      </w:r>
      <w:r>
        <w:rPr>
          <w:rFonts w:hAnsi="Arial" w:hint="eastAsia"/>
        </w:rPr>
        <w:t>1</w:t>
      </w:r>
      <w:r>
        <w:rPr>
          <w:rFonts w:hAnsi="Arial" w:hint="eastAsia"/>
        </w:rPr>
        <w:t>年</w:t>
      </w:r>
      <w:r>
        <w:rPr>
          <w:rFonts w:hAnsi="Arial" w:hint="eastAsia"/>
        </w:rPr>
        <w:t>06</w:t>
      </w:r>
      <w:r>
        <w:rPr>
          <w:rFonts w:hAnsi="Arial" w:hint="eastAsia"/>
        </w:rPr>
        <w:t>月</w:t>
      </w:r>
      <w:r>
        <w:rPr>
          <w:rFonts w:hAnsi="Arial" w:hint="eastAsia"/>
        </w:rPr>
        <w:t>22</w:t>
      </w:r>
      <w:r>
        <w:rPr>
          <w:rFonts w:hAnsi="Arial" w:hint="eastAsia"/>
        </w:rPr>
        <w:t>日和</w:t>
      </w:r>
      <w:r>
        <w:rPr>
          <w:rFonts w:hAnsi="Arial" w:hint="eastAsia"/>
        </w:rPr>
        <w:t>2</w:t>
      </w:r>
      <w:r>
        <w:rPr>
          <w:rFonts w:hAnsi="Arial"/>
        </w:rPr>
        <w:t>02</w:t>
      </w:r>
      <w:r>
        <w:rPr>
          <w:rFonts w:hAnsi="Arial" w:hint="eastAsia"/>
        </w:rPr>
        <w:t>1</w:t>
      </w:r>
      <w:r>
        <w:rPr>
          <w:rFonts w:hAnsi="Arial" w:hint="eastAsia"/>
        </w:rPr>
        <w:t>年</w:t>
      </w:r>
      <w:r>
        <w:rPr>
          <w:rFonts w:hAnsi="Arial" w:hint="eastAsia"/>
        </w:rPr>
        <w:t>06</w:t>
      </w:r>
      <w:r>
        <w:rPr>
          <w:rFonts w:hAnsi="Arial" w:hint="eastAsia"/>
        </w:rPr>
        <w:t>月</w:t>
      </w:r>
      <w:r>
        <w:rPr>
          <w:rFonts w:hAnsi="Arial" w:hint="eastAsia"/>
        </w:rPr>
        <w:t>02</w:t>
      </w:r>
      <w:r>
        <w:rPr>
          <w:rFonts w:hAnsi="Arial" w:hint="eastAsia"/>
        </w:rPr>
        <w:t>日的公告，本基金</w:t>
      </w:r>
      <w:r>
        <w:rPr>
          <w:rFonts w:hAnsi="Arial" w:hint="eastAsia"/>
        </w:rPr>
        <w:t>I</w:t>
      </w:r>
      <w:r>
        <w:rPr>
          <w:rFonts w:hAnsi="Arial" w:hint="eastAsia"/>
        </w:rPr>
        <w:t>类份额在本公司“直销渠道”的大额申购（含转换转入、定期定额投资）业务调整为</w:t>
      </w:r>
      <w:r>
        <w:rPr>
          <w:rFonts w:hAnsi="Arial" w:hint="eastAsia"/>
        </w:rPr>
        <w:t>1</w:t>
      </w:r>
      <w:r>
        <w:rPr>
          <w:rFonts w:hAnsi="Arial" w:hint="eastAsia"/>
        </w:rPr>
        <w:t>亿元（含），在除本公司“直销渠道”</w:t>
      </w:r>
      <w:r w:rsidR="00D6699B">
        <w:rPr>
          <w:rFonts w:hAnsi="Arial" w:hint="eastAsia"/>
        </w:rPr>
        <w:t>、“上海万得基金销售有限公司”</w:t>
      </w:r>
      <w:r>
        <w:rPr>
          <w:rFonts w:hAnsi="Arial" w:hint="eastAsia"/>
        </w:rPr>
        <w:t>以外的其他销售渠道的大额申购（含转换转入、定期定额投资）业务调整为</w:t>
      </w:r>
      <w:r>
        <w:rPr>
          <w:rFonts w:hAnsi="Arial" w:hint="eastAsia"/>
        </w:rPr>
        <w:t>3000</w:t>
      </w:r>
      <w:r>
        <w:rPr>
          <w:rFonts w:hAnsi="Arial" w:hint="eastAsia"/>
        </w:rPr>
        <w:t>万元（含）。</w:t>
      </w:r>
    </w:p>
    <w:p w:rsidR="00CF0AB6" w:rsidRDefault="000260CE" w:rsidP="00CF0AB6">
      <w:pPr>
        <w:pStyle w:val="neirong"/>
      </w:pPr>
      <w:r>
        <w:rPr>
          <w:rFonts w:hAnsi="Arial" w:hint="eastAsia"/>
        </w:rPr>
        <w:t>（</w:t>
      </w:r>
      <w:r w:rsidR="00CF0AB6">
        <w:rPr>
          <w:rFonts w:hAnsi="Arial" w:hint="eastAsia"/>
        </w:rPr>
        <w:t>3</w:t>
      </w:r>
      <w:r>
        <w:rPr>
          <w:rFonts w:hAnsi="Arial" w:hint="eastAsia"/>
        </w:rPr>
        <w:t>）本基金暂停上述相关业务期间，本基金的赎回等业务照常办理。</w:t>
      </w:r>
      <w:r w:rsidR="00CF0AB6">
        <w:rPr>
          <w:rFonts w:hAnsi="Arial" w:hint="eastAsia"/>
        </w:rPr>
        <w:t>本基金</w:t>
      </w:r>
      <w:r w:rsidR="00CF0AB6">
        <w:rPr>
          <w:rFonts w:hAnsi="Arial"/>
        </w:rPr>
        <w:t>A类、C类</w:t>
      </w:r>
      <w:r w:rsidR="00CF0AB6">
        <w:rPr>
          <w:rFonts w:hAnsi="Arial" w:hint="eastAsia"/>
        </w:rPr>
        <w:t>、E类、I类份额在“</w:t>
      </w:r>
      <w:r w:rsidR="00CF0AB6" w:rsidRPr="000D169B">
        <w:rPr>
          <w:rFonts w:hAnsi="Arial" w:hint="eastAsia"/>
        </w:rPr>
        <w:t>上海万得基金销售有限公司</w:t>
      </w:r>
      <w:r w:rsidR="00CF0AB6">
        <w:rPr>
          <w:rFonts w:hAnsi="Arial" w:hint="eastAsia"/>
        </w:rPr>
        <w:t>”</w:t>
      </w:r>
      <w:r w:rsidR="00CF0AB6" w:rsidRPr="000D169B">
        <w:rPr>
          <w:rFonts w:hAnsi="Arial" w:hint="eastAsia"/>
        </w:rPr>
        <w:t>渠道恢复办理大额申购（含转换转入、定期定额投资）业务的时间将另行公告。</w:t>
      </w:r>
    </w:p>
    <w:p w:rsidR="00EE0F34" w:rsidRPr="00CF0AB6" w:rsidRDefault="00EE0F34">
      <w:pPr>
        <w:autoSpaceDE w:val="0"/>
        <w:autoSpaceDN w:val="0"/>
        <w:adjustRightInd w:val="0"/>
        <w:spacing w:line="360" w:lineRule="auto"/>
        <w:ind w:left="17" w:rightChars="-27" w:right="-57"/>
        <w:rPr>
          <w:rFonts w:ascii="宋体" w:eastAsia="宋体" w:hAnsi="Arial" w:cs="宋体"/>
          <w:kern w:val="0"/>
          <w:sz w:val="24"/>
          <w:szCs w:val="24"/>
        </w:rPr>
      </w:pPr>
    </w:p>
    <w:p w:rsidR="00EE0F34" w:rsidRPr="00D6699B" w:rsidRDefault="00EE0F34">
      <w:pPr>
        <w:autoSpaceDE w:val="0"/>
        <w:autoSpaceDN w:val="0"/>
        <w:adjustRightInd w:val="0"/>
        <w:spacing w:line="360" w:lineRule="auto"/>
        <w:ind w:left="17" w:rightChars="-27" w:right="-57"/>
        <w:rPr>
          <w:rFonts w:ascii="宋体" w:eastAsia="宋体" w:hAnsi="Arial" w:cs="宋体"/>
          <w:kern w:val="0"/>
          <w:sz w:val="24"/>
          <w:szCs w:val="24"/>
        </w:rPr>
      </w:pPr>
    </w:p>
    <w:p w:rsidR="00EE0F34" w:rsidRDefault="000260CE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2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EE0F34" w:rsidRDefault="000260CE">
      <w:pPr>
        <w:autoSpaceDE w:val="0"/>
        <w:autoSpaceDN w:val="0"/>
        <w:adjustRightInd w:val="0"/>
        <w:spacing w:line="360" w:lineRule="auto"/>
        <w:ind w:rightChars="-27" w:right="-57" w:firstLineChars="200" w:firstLine="480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本公司提示投资者合理安排投资计划，由此给投资带来的不便，敬请谅解。投资者欲了解本基金的详细情况，请登录本基金管理人网站（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www.ctzg.com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）查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lastRenderedPageBreak/>
        <w:t>阅《财通资管鸿达纯债债券型证券投资基金基金合同》和《财通资管鸿达纯债债券型证券投资基金招募说明书》等资料。投资者亦可拨打本基金管理人的全国统一客户服务电话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 xml:space="preserve">: </w:t>
      </w:r>
      <w:r>
        <w:rPr>
          <w:rFonts w:ascii="宋体" w:hAnsi="Arial" w:cs="宋体"/>
          <w:color w:val="000000"/>
          <w:kern w:val="0"/>
          <w:sz w:val="24"/>
          <w:szCs w:val="24"/>
        </w:rPr>
        <w:t>400-116-7888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垂询相关事宜。</w:t>
      </w:r>
    </w:p>
    <w:p w:rsidR="00EE0F34" w:rsidRDefault="00EE0F34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EE0F34" w:rsidRDefault="000260CE">
      <w:pPr>
        <w:autoSpaceDE w:val="0"/>
        <w:autoSpaceDN w:val="0"/>
        <w:adjustRightInd w:val="0"/>
        <w:spacing w:line="360" w:lineRule="auto"/>
        <w:ind w:left="17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风险提示</w:t>
      </w:r>
    </w:p>
    <w:p w:rsidR="00EE0F34" w:rsidRDefault="000260C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本公司承诺以诚实信用、勤勉尽责的原则管理和运用基金资产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，但不保证基金一定盈利，也不保证最低收益。本公司提醒投资者，投资者投资基金前应认真阅读本基金的基金合同、招募说明书等文件。敬请投资者注意投资风险。基金的过往业绩不预示未来表现，基金管理人管理的其他基金的业绩并不构成基金业绩表现的保证。</w:t>
      </w:r>
    </w:p>
    <w:p w:rsidR="00EE0F34" w:rsidRDefault="00EE0F34">
      <w:pPr>
        <w:autoSpaceDE w:val="0"/>
        <w:autoSpaceDN w:val="0"/>
        <w:adjustRightInd w:val="0"/>
        <w:spacing w:before="29" w:line="288" w:lineRule="auto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EE0F34" w:rsidRDefault="000260CE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特此公告。</w:t>
      </w:r>
    </w:p>
    <w:p w:rsidR="00EE0F34" w:rsidRDefault="00EE0F34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EE0F34" w:rsidRDefault="000260CE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财通证券资产管理有限公司</w:t>
      </w:r>
    </w:p>
    <w:p w:rsidR="00EE0F34" w:rsidRDefault="000260CE">
      <w:pPr>
        <w:jc w:val="right"/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2025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 w:rsidR="000D169B"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</w:t>
      </w:r>
      <w:r w:rsidR="000D169B"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</w:t>
      </w:r>
    </w:p>
    <w:sectPr w:rsidR="00EE0F34" w:rsidSect="00AD7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0F3A73"/>
    <w:multiLevelType w:val="singleLevel"/>
    <w:tmpl w:val="E10F3A7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5FF7"/>
    <w:rsid w:val="000009A1"/>
    <w:rsid w:val="00004B48"/>
    <w:rsid w:val="00006095"/>
    <w:rsid w:val="0000618C"/>
    <w:rsid w:val="000063FE"/>
    <w:rsid w:val="0000749D"/>
    <w:rsid w:val="000106FD"/>
    <w:rsid w:val="00010D92"/>
    <w:rsid w:val="000130F6"/>
    <w:rsid w:val="000133D8"/>
    <w:rsid w:val="0001395C"/>
    <w:rsid w:val="000156FF"/>
    <w:rsid w:val="00015F9C"/>
    <w:rsid w:val="00016E14"/>
    <w:rsid w:val="0001741D"/>
    <w:rsid w:val="000220F2"/>
    <w:rsid w:val="00022261"/>
    <w:rsid w:val="00022DDD"/>
    <w:rsid w:val="00023C05"/>
    <w:rsid w:val="00023DD0"/>
    <w:rsid w:val="000260CE"/>
    <w:rsid w:val="00027B84"/>
    <w:rsid w:val="000304E8"/>
    <w:rsid w:val="000321C1"/>
    <w:rsid w:val="00032A6D"/>
    <w:rsid w:val="00036589"/>
    <w:rsid w:val="00037C84"/>
    <w:rsid w:val="00043957"/>
    <w:rsid w:val="000440F4"/>
    <w:rsid w:val="0004483D"/>
    <w:rsid w:val="00046D52"/>
    <w:rsid w:val="000502A2"/>
    <w:rsid w:val="000525E7"/>
    <w:rsid w:val="00052BF9"/>
    <w:rsid w:val="00052D44"/>
    <w:rsid w:val="00056996"/>
    <w:rsid w:val="00056C2B"/>
    <w:rsid w:val="00057B0D"/>
    <w:rsid w:val="0006150D"/>
    <w:rsid w:val="0006509D"/>
    <w:rsid w:val="00065588"/>
    <w:rsid w:val="0006608C"/>
    <w:rsid w:val="00070269"/>
    <w:rsid w:val="00070F8D"/>
    <w:rsid w:val="00074F49"/>
    <w:rsid w:val="000755BA"/>
    <w:rsid w:val="00075799"/>
    <w:rsid w:val="00076202"/>
    <w:rsid w:val="00076360"/>
    <w:rsid w:val="000768B4"/>
    <w:rsid w:val="00076FA8"/>
    <w:rsid w:val="00077156"/>
    <w:rsid w:val="00081A61"/>
    <w:rsid w:val="00081BB1"/>
    <w:rsid w:val="00082401"/>
    <w:rsid w:val="00085FE2"/>
    <w:rsid w:val="00086852"/>
    <w:rsid w:val="0009011B"/>
    <w:rsid w:val="000914C9"/>
    <w:rsid w:val="00093E50"/>
    <w:rsid w:val="0009402C"/>
    <w:rsid w:val="00094FBB"/>
    <w:rsid w:val="00095FF7"/>
    <w:rsid w:val="00096E03"/>
    <w:rsid w:val="000976C7"/>
    <w:rsid w:val="000A01FC"/>
    <w:rsid w:val="000A0645"/>
    <w:rsid w:val="000A0819"/>
    <w:rsid w:val="000A2591"/>
    <w:rsid w:val="000A41C4"/>
    <w:rsid w:val="000A5767"/>
    <w:rsid w:val="000A62E1"/>
    <w:rsid w:val="000A7848"/>
    <w:rsid w:val="000B0BB7"/>
    <w:rsid w:val="000B1B6F"/>
    <w:rsid w:val="000B1BEE"/>
    <w:rsid w:val="000B24C1"/>
    <w:rsid w:val="000B2D51"/>
    <w:rsid w:val="000B44D5"/>
    <w:rsid w:val="000B5CC1"/>
    <w:rsid w:val="000C2D3D"/>
    <w:rsid w:val="000C3F77"/>
    <w:rsid w:val="000C4910"/>
    <w:rsid w:val="000C655F"/>
    <w:rsid w:val="000C7739"/>
    <w:rsid w:val="000D146E"/>
    <w:rsid w:val="000D1503"/>
    <w:rsid w:val="000D169B"/>
    <w:rsid w:val="000D48F9"/>
    <w:rsid w:val="000E0018"/>
    <w:rsid w:val="000E01D9"/>
    <w:rsid w:val="000E0A1C"/>
    <w:rsid w:val="000E0E50"/>
    <w:rsid w:val="000E384C"/>
    <w:rsid w:val="000E59A4"/>
    <w:rsid w:val="000F1238"/>
    <w:rsid w:val="000F1DB4"/>
    <w:rsid w:val="000F3F41"/>
    <w:rsid w:val="000F402D"/>
    <w:rsid w:val="000F4957"/>
    <w:rsid w:val="000F6A9D"/>
    <w:rsid w:val="000F6FD5"/>
    <w:rsid w:val="00101A6A"/>
    <w:rsid w:val="001100DC"/>
    <w:rsid w:val="001114D1"/>
    <w:rsid w:val="00114BAE"/>
    <w:rsid w:val="001152C0"/>
    <w:rsid w:val="00117AEA"/>
    <w:rsid w:val="00125281"/>
    <w:rsid w:val="0012572A"/>
    <w:rsid w:val="001319D4"/>
    <w:rsid w:val="0013434D"/>
    <w:rsid w:val="00135A14"/>
    <w:rsid w:val="001365CF"/>
    <w:rsid w:val="001365F1"/>
    <w:rsid w:val="001372D3"/>
    <w:rsid w:val="001379CB"/>
    <w:rsid w:val="00143427"/>
    <w:rsid w:val="00145073"/>
    <w:rsid w:val="00146D1D"/>
    <w:rsid w:val="00150C93"/>
    <w:rsid w:val="001515B3"/>
    <w:rsid w:val="00154DA6"/>
    <w:rsid w:val="00157D7E"/>
    <w:rsid w:val="00157F86"/>
    <w:rsid w:val="00160358"/>
    <w:rsid w:val="001609E2"/>
    <w:rsid w:val="00162FE8"/>
    <w:rsid w:val="00164FE7"/>
    <w:rsid w:val="001651BC"/>
    <w:rsid w:val="00165A79"/>
    <w:rsid w:val="00166E41"/>
    <w:rsid w:val="00170194"/>
    <w:rsid w:val="00170B30"/>
    <w:rsid w:val="00170C04"/>
    <w:rsid w:val="00170F4E"/>
    <w:rsid w:val="00172207"/>
    <w:rsid w:val="0017242D"/>
    <w:rsid w:val="0017262B"/>
    <w:rsid w:val="0017407B"/>
    <w:rsid w:val="00174DE1"/>
    <w:rsid w:val="00175DD9"/>
    <w:rsid w:val="001769D5"/>
    <w:rsid w:val="00180B7D"/>
    <w:rsid w:val="001811BF"/>
    <w:rsid w:val="001819FE"/>
    <w:rsid w:val="001823A9"/>
    <w:rsid w:val="00182953"/>
    <w:rsid w:val="00184758"/>
    <w:rsid w:val="001856A3"/>
    <w:rsid w:val="00186A2B"/>
    <w:rsid w:val="00186F5C"/>
    <w:rsid w:val="0018772F"/>
    <w:rsid w:val="00193973"/>
    <w:rsid w:val="00193F2C"/>
    <w:rsid w:val="001A2341"/>
    <w:rsid w:val="001A3929"/>
    <w:rsid w:val="001A3B85"/>
    <w:rsid w:val="001A42E7"/>
    <w:rsid w:val="001B05CE"/>
    <w:rsid w:val="001B10AF"/>
    <w:rsid w:val="001B13D7"/>
    <w:rsid w:val="001B4D9F"/>
    <w:rsid w:val="001B592B"/>
    <w:rsid w:val="001C140F"/>
    <w:rsid w:val="001C3D2A"/>
    <w:rsid w:val="001C5796"/>
    <w:rsid w:val="001C70F9"/>
    <w:rsid w:val="001D0839"/>
    <w:rsid w:val="001D7BA9"/>
    <w:rsid w:val="001E1545"/>
    <w:rsid w:val="001E2611"/>
    <w:rsid w:val="001E41C6"/>
    <w:rsid w:val="001E7AA1"/>
    <w:rsid w:val="001F1E47"/>
    <w:rsid w:val="001F696B"/>
    <w:rsid w:val="00200B1B"/>
    <w:rsid w:val="00203D6C"/>
    <w:rsid w:val="00205C5E"/>
    <w:rsid w:val="00206CD0"/>
    <w:rsid w:val="00210609"/>
    <w:rsid w:val="00212414"/>
    <w:rsid w:val="002125D8"/>
    <w:rsid w:val="002128CC"/>
    <w:rsid w:val="00214A3A"/>
    <w:rsid w:val="002156B3"/>
    <w:rsid w:val="00216136"/>
    <w:rsid w:val="002167C8"/>
    <w:rsid w:val="00220445"/>
    <w:rsid w:val="00221718"/>
    <w:rsid w:val="00222172"/>
    <w:rsid w:val="00223066"/>
    <w:rsid w:val="0022425F"/>
    <w:rsid w:val="002247E4"/>
    <w:rsid w:val="0022549E"/>
    <w:rsid w:val="00226CCE"/>
    <w:rsid w:val="0022759C"/>
    <w:rsid w:val="00230142"/>
    <w:rsid w:val="00232436"/>
    <w:rsid w:val="002344E5"/>
    <w:rsid w:val="00235A9A"/>
    <w:rsid w:val="00236686"/>
    <w:rsid w:val="00237C8D"/>
    <w:rsid w:val="00237D3F"/>
    <w:rsid w:val="00240E8C"/>
    <w:rsid w:val="002437E8"/>
    <w:rsid w:val="0024429C"/>
    <w:rsid w:val="002442DB"/>
    <w:rsid w:val="0024482B"/>
    <w:rsid w:val="00247A15"/>
    <w:rsid w:val="00247DE0"/>
    <w:rsid w:val="00251079"/>
    <w:rsid w:val="00251270"/>
    <w:rsid w:val="0025127E"/>
    <w:rsid w:val="002538E7"/>
    <w:rsid w:val="00253AC8"/>
    <w:rsid w:val="00255407"/>
    <w:rsid w:val="002564A1"/>
    <w:rsid w:val="002567FB"/>
    <w:rsid w:val="00257930"/>
    <w:rsid w:val="00260E86"/>
    <w:rsid w:val="00261252"/>
    <w:rsid w:val="002616B9"/>
    <w:rsid w:val="00261E6E"/>
    <w:rsid w:val="00263D95"/>
    <w:rsid w:val="00264E68"/>
    <w:rsid w:val="00265BC8"/>
    <w:rsid w:val="002669C2"/>
    <w:rsid w:val="00267E75"/>
    <w:rsid w:val="002712F9"/>
    <w:rsid w:val="0027216D"/>
    <w:rsid w:val="0027272D"/>
    <w:rsid w:val="00273831"/>
    <w:rsid w:val="0027399D"/>
    <w:rsid w:val="002742C9"/>
    <w:rsid w:val="00276A15"/>
    <w:rsid w:val="0027724A"/>
    <w:rsid w:val="00282133"/>
    <w:rsid w:val="00283DC6"/>
    <w:rsid w:val="00284E9D"/>
    <w:rsid w:val="00285430"/>
    <w:rsid w:val="002855C3"/>
    <w:rsid w:val="00285911"/>
    <w:rsid w:val="00290A08"/>
    <w:rsid w:val="00290FBF"/>
    <w:rsid w:val="0029168B"/>
    <w:rsid w:val="00292E5A"/>
    <w:rsid w:val="00294CF2"/>
    <w:rsid w:val="00295D04"/>
    <w:rsid w:val="00295E0A"/>
    <w:rsid w:val="002A24A2"/>
    <w:rsid w:val="002A4EE5"/>
    <w:rsid w:val="002A532B"/>
    <w:rsid w:val="002A64DE"/>
    <w:rsid w:val="002B208C"/>
    <w:rsid w:val="002B2893"/>
    <w:rsid w:val="002B2DB0"/>
    <w:rsid w:val="002B712D"/>
    <w:rsid w:val="002B722C"/>
    <w:rsid w:val="002B7837"/>
    <w:rsid w:val="002B7E46"/>
    <w:rsid w:val="002C08AF"/>
    <w:rsid w:val="002C137A"/>
    <w:rsid w:val="002C2DF6"/>
    <w:rsid w:val="002C342E"/>
    <w:rsid w:val="002C57A0"/>
    <w:rsid w:val="002D01F4"/>
    <w:rsid w:val="002D031A"/>
    <w:rsid w:val="002D191C"/>
    <w:rsid w:val="002D452B"/>
    <w:rsid w:val="002D598D"/>
    <w:rsid w:val="002D5B33"/>
    <w:rsid w:val="002D6449"/>
    <w:rsid w:val="002D7D04"/>
    <w:rsid w:val="002E2ADC"/>
    <w:rsid w:val="002E433F"/>
    <w:rsid w:val="002E44FB"/>
    <w:rsid w:val="002E57F7"/>
    <w:rsid w:val="002E6AD0"/>
    <w:rsid w:val="002E762C"/>
    <w:rsid w:val="002F2022"/>
    <w:rsid w:val="002F246F"/>
    <w:rsid w:val="002F2BB3"/>
    <w:rsid w:val="002F34E0"/>
    <w:rsid w:val="002F3DB5"/>
    <w:rsid w:val="002F4678"/>
    <w:rsid w:val="002F59D1"/>
    <w:rsid w:val="002F7AC0"/>
    <w:rsid w:val="003007A3"/>
    <w:rsid w:val="00300AB0"/>
    <w:rsid w:val="003014D7"/>
    <w:rsid w:val="00302473"/>
    <w:rsid w:val="00305CB5"/>
    <w:rsid w:val="00306EFC"/>
    <w:rsid w:val="00307793"/>
    <w:rsid w:val="00310090"/>
    <w:rsid w:val="00312CD8"/>
    <w:rsid w:val="00313BA3"/>
    <w:rsid w:val="00317FE3"/>
    <w:rsid w:val="00320A1E"/>
    <w:rsid w:val="003232A3"/>
    <w:rsid w:val="00325D6B"/>
    <w:rsid w:val="003265E7"/>
    <w:rsid w:val="00331385"/>
    <w:rsid w:val="003318E0"/>
    <w:rsid w:val="00332581"/>
    <w:rsid w:val="003345F1"/>
    <w:rsid w:val="00335062"/>
    <w:rsid w:val="00337380"/>
    <w:rsid w:val="00337B34"/>
    <w:rsid w:val="003427A7"/>
    <w:rsid w:val="00343F60"/>
    <w:rsid w:val="00353C48"/>
    <w:rsid w:val="003542F7"/>
    <w:rsid w:val="00355229"/>
    <w:rsid w:val="00356110"/>
    <w:rsid w:val="00357AB3"/>
    <w:rsid w:val="00360969"/>
    <w:rsid w:val="00363852"/>
    <w:rsid w:val="003649CC"/>
    <w:rsid w:val="00365F26"/>
    <w:rsid w:val="003660A4"/>
    <w:rsid w:val="003701B3"/>
    <w:rsid w:val="00370261"/>
    <w:rsid w:val="003702F1"/>
    <w:rsid w:val="0037136C"/>
    <w:rsid w:val="003752FD"/>
    <w:rsid w:val="00375551"/>
    <w:rsid w:val="0037749E"/>
    <w:rsid w:val="00381F85"/>
    <w:rsid w:val="00382E25"/>
    <w:rsid w:val="003849C2"/>
    <w:rsid w:val="00384B79"/>
    <w:rsid w:val="003851F3"/>
    <w:rsid w:val="00385F95"/>
    <w:rsid w:val="003860B6"/>
    <w:rsid w:val="00390180"/>
    <w:rsid w:val="003906E5"/>
    <w:rsid w:val="00390EA9"/>
    <w:rsid w:val="00393B87"/>
    <w:rsid w:val="00394276"/>
    <w:rsid w:val="003A1BD7"/>
    <w:rsid w:val="003A2546"/>
    <w:rsid w:val="003A25C9"/>
    <w:rsid w:val="003A29C8"/>
    <w:rsid w:val="003A589E"/>
    <w:rsid w:val="003A67D0"/>
    <w:rsid w:val="003B002C"/>
    <w:rsid w:val="003B09A0"/>
    <w:rsid w:val="003B0CDC"/>
    <w:rsid w:val="003B5493"/>
    <w:rsid w:val="003C0334"/>
    <w:rsid w:val="003C044F"/>
    <w:rsid w:val="003C0901"/>
    <w:rsid w:val="003C3498"/>
    <w:rsid w:val="003C4F4E"/>
    <w:rsid w:val="003C5DA5"/>
    <w:rsid w:val="003D2DAF"/>
    <w:rsid w:val="003D7D6E"/>
    <w:rsid w:val="003E4896"/>
    <w:rsid w:val="003E51E0"/>
    <w:rsid w:val="003E5545"/>
    <w:rsid w:val="003E5945"/>
    <w:rsid w:val="003E7CE8"/>
    <w:rsid w:val="003F0A9A"/>
    <w:rsid w:val="003F3CFE"/>
    <w:rsid w:val="003F5D29"/>
    <w:rsid w:val="003F5FBF"/>
    <w:rsid w:val="003F76C3"/>
    <w:rsid w:val="004035B0"/>
    <w:rsid w:val="004101D8"/>
    <w:rsid w:val="00411796"/>
    <w:rsid w:val="004121A7"/>
    <w:rsid w:val="00414C1D"/>
    <w:rsid w:val="00416442"/>
    <w:rsid w:val="00416962"/>
    <w:rsid w:val="00420114"/>
    <w:rsid w:val="004262DB"/>
    <w:rsid w:val="00430571"/>
    <w:rsid w:val="00430C76"/>
    <w:rsid w:val="00431FC7"/>
    <w:rsid w:val="00432648"/>
    <w:rsid w:val="0043268E"/>
    <w:rsid w:val="00432B64"/>
    <w:rsid w:val="0043314C"/>
    <w:rsid w:val="00435801"/>
    <w:rsid w:val="004360DF"/>
    <w:rsid w:val="00437741"/>
    <w:rsid w:val="00440C42"/>
    <w:rsid w:val="004421A1"/>
    <w:rsid w:val="004427CF"/>
    <w:rsid w:val="004430A6"/>
    <w:rsid w:val="00443811"/>
    <w:rsid w:val="00443844"/>
    <w:rsid w:val="00444743"/>
    <w:rsid w:val="00444FDC"/>
    <w:rsid w:val="004454E1"/>
    <w:rsid w:val="004468DB"/>
    <w:rsid w:val="00447064"/>
    <w:rsid w:val="004476FB"/>
    <w:rsid w:val="004507BE"/>
    <w:rsid w:val="0045178C"/>
    <w:rsid w:val="0045183D"/>
    <w:rsid w:val="00451BF0"/>
    <w:rsid w:val="004530CF"/>
    <w:rsid w:val="00455CC1"/>
    <w:rsid w:val="0046008C"/>
    <w:rsid w:val="00460927"/>
    <w:rsid w:val="004641BB"/>
    <w:rsid w:val="00464B2A"/>
    <w:rsid w:val="00465580"/>
    <w:rsid w:val="00465D71"/>
    <w:rsid w:val="004668FD"/>
    <w:rsid w:val="004712AD"/>
    <w:rsid w:val="0047224C"/>
    <w:rsid w:val="0047279E"/>
    <w:rsid w:val="004732C9"/>
    <w:rsid w:val="004743CC"/>
    <w:rsid w:val="004750F2"/>
    <w:rsid w:val="0048193C"/>
    <w:rsid w:val="00484995"/>
    <w:rsid w:val="00486995"/>
    <w:rsid w:val="00490BA3"/>
    <w:rsid w:val="004944FC"/>
    <w:rsid w:val="00496084"/>
    <w:rsid w:val="004A0320"/>
    <w:rsid w:val="004A2731"/>
    <w:rsid w:val="004A5BB1"/>
    <w:rsid w:val="004A770D"/>
    <w:rsid w:val="004B02F4"/>
    <w:rsid w:val="004B0ED4"/>
    <w:rsid w:val="004B161E"/>
    <w:rsid w:val="004B3061"/>
    <w:rsid w:val="004B3C71"/>
    <w:rsid w:val="004B6A6C"/>
    <w:rsid w:val="004C3ACF"/>
    <w:rsid w:val="004C44FA"/>
    <w:rsid w:val="004D136C"/>
    <w:rsid w:val="004D2DE4"/>
    <w:rsid w:val="004D3E31"/>
    <w:rsid w:val="004D4EC3"/>
    <w:rsid w:val="004D6179"/>
    <w:rsid w:val="004D6C68"/>
    <w:rsid w:val="004D6D73"/>
    <w:rsid w:val="004E20F2"/>
    <w:rsid w:val="004E291D"/>
    <w:rsid w:val="004E523B"/>
    <w:rsid w:val="004E5447"/>
    <w:rsid w:val="004E6D60"/>
    <w:rsid w:val="004F0718"/>
    <w:rsid w:val="004F15CD"/>
    <w:rsid w:val="004F3604"/>
    <w:rsid w:val="004F3E54"/>
    <w:rsid w:val="004F51CD"/>
    <w:rsid w:val="004F62BB"/>
    <w:rsid w:val="004F644A"/>
    <w:rsid w:val="004F6D8E"/>
    <w:rsid w:val="004F6F98"/>
    <w:rsid w:val="004F7274"/>
    <w:rsid w:val="00501E9B"/>
    <w:rsid w:val="00503313"/>
    <w:rsid w:val="0050355A"/>
    <w:rsid w:val="005052E9"/>
    <w:rsid w:val="00506D32"/>
    <w:rsid w:val="005075B1"/>
    <w:rsid w:val="00511651"/>
    <w:rsid w:val="0051189E"/>
    <w:rsid w:val="00512562"/>
    <w:rsid w:val="005131B1"/>
    <w:rsid w:val="00515C82"/>
    <w:rsid w:val="005177BD"/>
    <w:rsid w:val="00523454"/>
    <w:rsid w:val="00531A2C"/>
    <w:rsid w:val="00533D91"/>
    <w:rsid w:val="00534208"/>
    <w:rsid w:val="00535420"/>
    <w:rsid w:val="00535F14"/>
    <w:rsid w:val="00536507"/>
    <w:rsid w:val="005371E2"/>
    <w:rsid w:val="00537C64"/>
    <w:rsid w:val="005402FA"/>
    <w:rsid w:val="005442C5"/>
    <w:rsid w:val="00546985"/>
    <w:rsid w:val="00552107"/>
    <w:rsid w:val="00552EE7"/>
    <w:rsid w:val="005544AD"/>
    <w:rsid w:val="00556203"/>
    <w:rsid w:val="00563379"/>
    <w:rsid w:val="005652EF"/>
    <w:rsid w:val="0056573B"/>
    <w:rsid w:val="00565794"/>
    <w:rsid w:val="0056718F"/>
    <w:rsid w:val="005709E4"/>
    <w:rsid w:val="005745DE"/>
    <w:rsid w:val="0057619A"/>
    <w:rsid w:val="005764CE"/>
    <w:rsid w:val="00580F56"/>
    <w:rsid w:val="0058407D"/>
    <w:rsid w:val="0058480D"/>
    <w:rsid w:val="005875F8"/>
    <w:rsid w:val="005915C2"/>
    <w:rsid w:val="005922DE"/>
    <w:rsid w:val="0059475E"/>
    <w:rsid w:val="005949E8"/>
    <w:rsid w:val="005949FF"/>
    <w:rsid w:val="005958B2"/>
    <w:rsid w:val="005960CE"/>
    <w:rsid w:val="0059672F"/>
    <w:rsid w:val="00596B64"/>
    <w:rsid w:val="00597132"/>
    <w:rsid w:val="00597ED5"/>
    <w:rsid w:val="005A04A4"/>
    <w:rsid w:val="005A19FA"/>
    <w:rsid w:val="005A1CF4"/>
    <w:rsid w:val="005A2C01"/>
    <w:rsid w:val="005A337F"/>
    <w:rsid w:val="005A76A1"/>
    <w:rsid w:val="005B2E44"/>
    <w:rsid w:val="005B6005"/>
    <w:rsid w:val="005B7179"/>
    <w:rsid w:val="005B74C3"/>
    <w:rsid w:val="005B7CE9"/>
    <w:rsid w:val="005C123E"/>
    <w:rsid w:val="005C1E63"/>
    <w:rsid w:val="005C297D"/>
    <w:rsid w:val="005C31C5"/>
    <w:rsid w:val="005C4548"/>
    <w:rsid w:val="005C4D03"/>
    <w:rsid w:val="005C65A0"/>
    <w:rsid w:val="005D11F8"/>
    <w:rsid w:val="005D1DC7"/>
    <w:rsid w:val="005D44A7"/>
    <w:rsid w:val="005D6CA0"/>
    <w:rsid w:val="005D6E94"/>
    <w:rsid w:val="005E0596"/>
    <w:rsid w:val="005E346E"/>
    <w:rsid w:val="005E4CDD"/>
    <w:rsid w:val="005E6C34"/>
    <w:rsid w:val="005E7848"/>
    <w:rsid w:val="005F00AD"/>
    <w:rsid w:val="005F168F"/>
    <w:rsid w:val="005F4087"/>
    <w:rsid w:val="005F4793"/>
    <w:rsid w:val="005F4D68"/>
    <w:rsid w:val="005F6E02"/>
    <w:rsid w:val="005F7712"/>
    <w:rsid w:val="00601373"/>
    <w:rsid w:val="006035BC"/>
    <w:rsid w:val="006063C8"/>
    <w:rsid w:val="00606654"/>
    <w:rsid w:val="0061254B"/>
    <w:rsid w:val="00612B87"/>
    <w:rsid w:val="00613F2D"/>
    <w:rsid w:val="00614E6F"/>
    <w:rsid w:val="0061505A"/>
    <w:rsid w:val="006175F1"/>
    <w:rsid w:val="00617BF8"/>
    <w:rsid w:val="006210BC"/>
    <w:rsid w:val="00621133"/>
    <w:rsid w:val="006226EF"/>
    <w:rsid w:val="006259FE"/>
    <w:rsid w:val="0063213B"/>
    <w:rsid w:val="0063278A"/>
    <w:rsid w:val="00632915"/>
    <w:rsid w:val="00633508"/>
    <w:rsid w:val="00633BE8"/>
    <w:rsid w:val="0064020F"/>
    <w:rsid w:val="00641165"/>
    <w:rsid w:val="00643C5A"/>
    <w:rsid w:val="00644B29"/>
    <w:rsid w:val="00645A0C"/>
    <w:rsid w:val="00646EB6"/>
    <w:rsid w:val="00647E5F"/>
    <w:rsid w:val="0065022F"/>
    <w:rsid w:val="00651135"/>
    <w:rsid w:val="00651FBB"/>
    <w:rsid w:val="0065211D"/>
    <w:rsid w:val="00655E56"/>
    <w:rsid w:val="00656488"/>
    <w:rsid w:val="0066004C"/>
    <w:rsid w:val="00660AAD"/>
    <w:rsid w:val="006643BE"/>
    <w:rsid w:val="00664D21"/>
    <w:rsid w:val="00667DE4"/>
    <w:rsid w:val="0067012C"/>
    <w:rsid w:val="00670639"/>
    <w:rsid w:val="006714A9"/>
    <w:rsid w:val="00671D2D"/>
    <w:rsid w:val="00673908"/>
    <w:rsid w:val="00675F34"/>
    <w:rsid w:val="00677781"/>
    <w:rsid w:val="00677795"/>
    <w:rsid w:val="00677EC0"/>
    <w:rsid w:val="00680583"/>
    <w:rsid w:val="00680C5F"/>
    <w:rsid w:val="00680F94"/>
    <w:rsid w:val="0068345D"/>
    <w:rsid w:val="00684E2C"/>
    <w:rsid w:val="00687691"/>
    <w:rsid w:val="00690ABF"/>
    <w:rsid w:val="006927D7"/>
    <w:rsid w:val="0069346C"/>
    <w:rsid w:val="00697243"/>
    <w:rsid w:val="006A0ADD"/>
    <w:rsid w:val="006A0DD9"/>
    <w:rsid w:val="006A3BFE"/>
    <w:rsid w:val="006A3F3A"/>
    <w:rsid w:val="006A41B0"/>
    <w:rsid w:val="006A4B22"/>
    <w:rsid w:val="006A5270"/>
    <w:rsid w:val="006A5DFE"/>
    <w:rsid w:val="006A5EC6"/>
    <w:rsid w:val="006B0107"/>
    <w:rsid w:val="006B1618"/>
    <w:rsid w:val="006B220E"/>
    <w:rsid w:val="006B3644"/>
    <w:rsid w:val="006B5EFD"/>
    <w:rsid w:val="006B722F"/>
    <w:rsid w:val="006C0D11"/>
    <w:rsid w:val="006C144B"/>
    <w:rsid w:val="006C5642"/>
    <w:rsid w:val="006C6107"/>
    <w:rsid w:val="006D0249"/>
    <w:rsid w:val="006D0B5B"/>
    <w:rsid w:val="006D1BB0"/>
    <w:rsid w:val="006D52FC"/>
    <w:rsid w:val="006D6454"/>
    <w:rsid w:val="006D649A"/>
    <w:rsid w:val="006E1AE0"/>
    <w:rsid w:val="006E1D69"/>
    <w:rsid w:val="006E1E47"/>
    <w:rsid w:val="006E29A5"/>
    <w:rsid w:val="006E3C55"/>
    <w:rsid w:val="006E4946"/>
    <w:rsid w:val="006E4F94"/>
    <w:rsid w:val="006E6995"/>
    <w:rsid w:val="006F12E4"/>
    <w:rsid w:val="006F5FE2"/>
    <w:rsid w:val="006F6F76"/>
    <w:rsid w:val="00703795"/>
    <w:rsid w:val="00703E8A"/>
    <w:rsid w:val="00705758"/>
    <w:rsid w:val="00705E56"/>
    <w:rsid w:val="00711376"/>
    <w:rsid w:val="00711E4F"/>
    <w:rsid w:val="0071239E"/>
    <w:rsid w:val="007141EF"/>
    <w:rsid w:val="007169C6"/>
    <w:rsid w:val="007170B3"/>
    <w:rsid w:val="00717585"/>
    <w:rsid w:val="00720B9D"/>
    <w:rsid w:val="00720DB5"/>
    <w:rsid w:val="0072248B"/>
    <w:rsid w:val="007232F5"/>
    <w:rsid w:val="00724907"/>
    <w:rsid w:val="00724E8E"/>
    <w:rsid w:val="00725DBC"/>
    <w:rsid w:val="007308A6"/>
    <w:rsid w:val="00731204"/>
    <w:rsid w:val="00732528"/>
    <w:rsid w:val="00732684"/>
    <w:rsid w:val="007352D8"/>
    <w:rsid w:val="00735A55"/>
    <w:rsid w:val="0073700C"/>
    <w:rsid w:val="00737A4D"/>
    <w:rsid w:val="0074090F"/>
    <w:rsid w:val="007433F9"/>
    <w:rsid w:val="007436E6"/>
    <w:rsid w:val="00744963"/>
    <w:rsid w:val="007449FF"/>
    <w:rsid w:val="0074613D"/>
    <w:rsid w:val="007468CE"/>
    <w:rsid w:val="0075020A"/>
    <w:rsid w:val="0075206B"/>
    <w:rsid w:val="00752E5D"/>
    <w:rsid w:val="007546AB"/>
    <w:rsid w:val="00755EC6"/>
    <w:rsid w:val="007602A0"/>
    <w:rsid w:val="00761212"/>
    <w:rsid w:val="007658C2"/>
    <w:rsid w:val="00770856"/>
    <w:rsid w:val="0077168F"/>
    <w:rsid w:val="007741FD"/>
    <w:rsid w:val="00774C87"/>
    <w:rsid w:val="0077546C"/>
    <w:rsid w:val="00776455"/>
    <w:rsid w:val="0077739C"/>
    <w:rsid w:val="00780E79"/>
    <w:rsid w:val="00781AFE"/>
    <w:rsid w:val="00783F09"/>
    <w:rsid w:val="00790520"/>
    <w:rsid w:val="00790BE4"/>
    <w:rsid w:val="00792C9C"/>
    <w:rsid w:val="00793D61"/>
    <w:rsid w:val="00794FD8"/>
    <w:rsid w:val="00796D68"/>
    <w:rsid w:val="00797CE8"/>
    <w:rsid w:val="00797D58"/>
    <w:rsid w:val="007A0CFC"/>
    <w:rsid w:val="007A3702"/>
    <w:rsid w:val="007A4649"/>
    <w:rsid w:val="007A53F9"/>
    <w:rsid w:val="007A7FA9"/>
    <w:rsid w:val="007B133E"/>
    <w:rsid w:val="007B1ADB"/>
    <w:rsid w:val="007B4A6F"/>
    <w:rsid w:val="007B4AA5"/>
    <w:rsid w:val="007C356F"/>
    <w:rsid w:val="007C48AA"/>
    <w:rsid w:val="007C67FC"/>
    <w:rsid w:val="007C74C9"/>
    <w:rsid w:val="007D453C"/>
    <w:rsid w:val="007D4DA1"/>
    <w:rsid w:val="007D5FEC"/>
    <w:rsid w:val="007D6409"/>
    <w:rsid w:val="007D7844"/>
    <w:rsid w:val="007D7A19"/>
    <w:rsid w:val="007E0A22"/>
    <w:rsid w:val="007E1F23"/>
    <w:rsid w:val="007E276D"/>
    <w:rsid w:val="007E6957"/>
    <w:rsid w:val="007E736F"/>
    <w:rsid w:val="007F2201"/>
    <w:rsid w:val="007F3AAF"/>
    <w:rsid w:val="007F4054"/>
    <w:rsid w:val="007F624F"/>
    <w:rsid w:val="00801D46"/>
    <w:rsid w:val="00806D85"/>
    <w:rsid w:val="00807A6F"/>
    <w:rsid w:val="0081080A"/>
    <w:rsid w:val="0081130B"/>
    <w:rsid w:val="0081239A"/>
    <w:rsid w:val="00813A7B"/>
    <w:rsid w:val="00813CF6"/>
    <w:rsid w:val="00815EE8"/>
    <w:rsid w:val="008166CD"/>
    <w:rsid w:val="00820D5F"/>
    <w:rsid w:val="00823241"/>
    <w:rsid w:val="00823C4A"/>
    <w:rsid w:val="00830AF9"/>
    <w:rsid w:val="008310F4"/>
    <w:rsid w:val="008312DD"/>
    <w:rsid w:val="00832048"/>
    <w:rsid w:val="00834367"/>
    <w:rsid w:val="00841732"/>
    <w:rsid w:val="00841D94"/>
    <w:rsid w:val="00841E63"/>
    <w:rsid w:val="00843437"/>
    <w:rsid w:val="00843D08"/>
    <w:rsid w:val="0084493A"/>
    <w:rsid w:val="00844AC4"/>
    <w:rsid w:val="00844EE5"/>
    <w:rsid w:val="0085179A"/>
    <w:rsid w:val="00854397"/>
    <w:rsid w:val="00854B62"/>
    <w:rsid w:val="008554CA"/>
    <w:rsid w:val="0085639B"/>
    <w:rsid w:val="0086041F"/>
    <w:rsid w:val="00860648"/>
    <w:rsid w:val="00861156"/>
    <w:rsid w:val="0086228D"/>
    <w:rsid w:val="00862B3D"/>
    <w:rsid w:val="00862DEB"/>
    <w:rsid w:val="00865159"/>
    <w:rsid w:val="0086570A"/>
    <w:rsid w:val="00866912"/>
    <w:rsid w:val="00866AEA"/>
    <w:rsid w:val="0087163B"/>
    <w:rsid w:val="008728B7"/>
    <w:rsid w:val="0087299B"/>
    <w:rsid w:val="00873F53"/>
    <w:rsid w:val="00874BFD"/>
    <w:rsid w:val="0087547E"/>
    <w:rsid w:val="00876BC2"/>
    <w:rsid w:val="00876F8E"/>
    <w:rsid w:val="00877E43"/>
    <w:rsid w:val="00880692"/>
    <w:rsid w:val="00881E54"/>
    <w:rsid w:val="008827AB"/>
    <w:rsid w:val="00885BAB"/>
    <w:rsid w:val="008877CF"/>
    <w:rsid w:val="00887B38"/>
    <w:rsid w:val="00887C73"/>
    <w:rsid w:val="0089295C"/>
    <w:rsid w:val="00895F7D"/>
    <w:rsid w:val="00896A67"/>
    <w:rsid w:val="00897AB6"/>
    <w:rsid w:val="00897AE9"/>
    <w:rsid w:val="00897CB7"/>
    <w:rsid w:val="008A06D9"/>
    <w:rsid w:val="008A0EEE"/>
    <w:rsid w:val="008A2FDE"/>
    <w:rsid w:val="008A39F0"/>
    <w:rsid w:val="008A3C9C"/>
    <w:rsid w:val="008A3FDB"/>
    <w:rsid w:val="008A405C"/>
    <w:rsid w:val="008A6FFF"/>
    <w:rsid w:val="008A77D5"/>
    <w:rsid w:val="008B060E"/>
    <w:rsid w:val="008B3056"/>
    <w:rsid w:val="008B3491"/>
    <w:rsid w:val="008B68E3"/>
    <w:rsid w:val="008C4BBC"/>
    <w:rsid w:val="008C4BDE"/>
    <w:rsid w:val="008D59F2"/>
    <w:rsid w:val="008D5B62"/>
    <w:rsid w:val="008D5D92"/>
    <w:rsid w:val="008D6FEE"/>
    <w:rsid w:val="008D738F"/>
    <w:rsid w:val="008E0A15"/>
    <w:rsid w:val="008E1241"/>
    <w:rsid w:val="008E33BD"/>
    <w:rsid w:val="008E4975"/>
    <w:rsid w:val="008F102C"/>
    <w:rsid w:val="008F1E33"/>
    <w:rsid w:val="008F219F"/>
    <w:rsid w:val="008F2E07"/>
    <w:rsid w:val="008F335C"/>
    <w:rsid w:val="008F6C70"/>
    <w:rsid w:val="00902292"/>
    <w:rsid w:val="0090295D"/>
    <w:rsid w:val="00904FE6"/>
    <w:rsid w:val="00905730"/>
    <w:rsid w:val="009072D3"/>
    <w:rsid w:val="009139EE"/>
    <w:rsid w:val="00914055"/>
    <w:rsid w:val="00914C81"/>
    <w:rsid w:val="0091751B"/>
    <w:rsid w:val="00921AA6"/>
    <w:rsid w:val="00922BC6"/>
    <w:rsid w:val="00922DD1"/>
    <w:rsid w:val="009231A8"/>
    <w:rsid w:val="009249F5"/>
    <w:rsid w:val="00924DD7"/>
    <w:rsid w:val="009311AA"/>
    <w:rsid w:val="00931536"/>
    <w:rsid w:val="00931BF4"/>
    <w:rsid w:val="0093265F"/>
    <w:rsid w:val="009356C2"/>
    <w:rsid w:val="00935CCD"/>
    <w:rsid w:val="00935F9C"/>
    <w:rsid w:val="00936A74"/>
    <w:rsid w:val="00937B3A"/>
    <w:rsid w:val="00943400"/>
    <w:rsid w:val="0094341C"/>
    <w:rsid w:val="00944872"/>
    <w:rsid w:val="009455F7"/>
    <w:rsid w:val="00945BE5"/>
    <w:rsid w:val="00952105"/>
    <w:rsid w:val="00954526"/>
    <w:rsid w:val="0095643E"/>
    <w:rsid w:val="00961C2E"/>
    <w:rsid w:val="00961E1A"/>
    <w:rsid w:val="00961EFF"/>
    <w:rsid w:val="009622F7"/>
    <w:rsid w:val="00965EDE"/>
    <w:rsid w:val="00966A34"/>
    <w:rsid w:val="00967D04"/>
    <w:rsid w:val="00971463"/>
    <w:rsid w:val="00974441"/>
    <w:rsid w:val="009808F4"/>
    <w:rsid w:val="00980F71"/>
    <w:rsid w:val="00980FE7"/>
    <w:rsid w:val="009846A2"/>
    <w:rsid w:val="00986153"/>
    <w:rsid w:val="00987526"/>
    <w:rsid w:val="00992EC6"/>
    <w:rsid w:val="009A0065"/>
    <w:rsid w:val="009A1344"/>
    <w:rsid w:val="009A4377"/>
    <w:rsid w:val="009A54F7"/>
    <w:rsid w:val="009A6961"/>
    <w:rsid w:val="009B06C6"/>
    <w:rsid w:val="009B1637"/>
    <w:rsid w:val="009B3379"/>
    <w:rsid w:val="009B590B"/>
    <w:rsid w:val="009B6545"/>
    <w:rsid w:val="009B69A5"/>
    <w:rsid w:val="009C0B76"/>
    <w:rsid w:val="009C0B9E"/>
    <w:rsid w:val="009C1045"/>
    <w:rsid w:val="009C31E6"/>
    <w:rsid w:val="009C3885"/>
    <w:rsid w:val="009C3A24"/>
    <w:rsid w:val="009C553C"/>
    <w:rsid w:val="009C5601"/>
    <w:rsid w:val="009D03D0"/>
    <w:rsid w:val="009D1DBE"/>
    <w:rsid w:val="009D210E"/>
    <w:rsid w:val="009D29BE"/>
    <w:rsid w:val="009D341D"/>
    <w:rsid w:val="009D346A"/>
    <w:rsid w:val="009E00C3"/>
    <w:rsid w:val="009E01DE"/>
    <w:rsid w:val="009E129C"/>
    <w:rsid w:val="009E1337"/>
    <w:rsid w:val="009E3EE6"/>
    <w:rsid w:val="009F04F5"/>
    <w:rsid w:val="009F11C0"/>
    <w:rsid w:val="009F16D1"/>
    <w:rsid w:val="009F2481"/>
    <w:rsid w:val="009F4FCD"/>
    <w:rsid w:val="009F74E4"/>
    <w:rsid w:val="00A01705"/>
    <w:rsid w:val="00A01B76"/>
    <w:rsid w:val="00A028C2"/>
    <w:rsid w:val="00A0356E"/>
    <w:rsid w:val="00A03B4E"/>
    <w:rsid w:val="00A050E9"/>
    <w:rsid w:val="00A07100"/>
    <w:rsid w:val="00A073AE"/>
    <w:rsid w:val="00A075BF"/>
    <w:rsid w:val="00A112C1"/>
    <w:rsid w:val="00A117C5"/>
    <w:rsid w:val="00A11834"/>
    <w:rsid w:val="00A13EF6"/>
    <w:rsid w:val="00A144BF"/>
    <w:rsid w:val="00A150FD"/>
    <w:rsid w:val="00A15304"/>
    <w:rsid w:val="00A160AF"/>
    <w:rsid w:val="00A16204"/>
    <w:rsid w:val="00A164FE"/>
    <w:rsid w:val="00A17346"/>
    <w:rsid w:val="00A17F04"/>
    <w:rsid w:val="00A20BE3"/>
    <w:rsid w:val="00A304D7"/>
    <w:rsid w:val="00A3291C"/>
    <w:rsid w:val="00A32D74"/>
    <w:rsid w:val="00A35B6F"/>
    <w:rsid w:val="00A360DC"/>
    <w:rsid w:val="00A4003D"/>
    <w:rsid w:val="00A4015C"/>
    <w:rsid w:val="00A4155D"/>
    <w:rsid w:val="00A44E08"/>
    <w:rsid w:val="00A44F51"/>
    <w:rsid w:val="00A452A0"/>
    <w:rsid w:val="00A46420"/>
    <w:rsid w:val="00A519E5"/>
    <w:rsid w:val="00A531D2"/>
    <w:rsid w:val="00A557B1"/>
    <w:rsid w:val="00A61124"/>
    <w:rsid w:val="00A619DF"/>
    <w:rsid w:val="00A62168"/>
    <w:rsid w:val="00A6254F"/>
    <w:rsid w:val="00A627D8"/>
    <w:rsid w:val="00A6310F"/>
    <w:rsid w:val="00A6364F"/>
    <w:rsid w:val="00A66536"/>
    <w:rsid w:val="00A678FE"/>
    <w:rsid w:val="00A72F2E"/>
    <w:rsid w:val="00A730A6"/>
    <w:rsid w:val="00A7357E"/>
    <w:rsid w:val="00A753A4"/>
    <w:rsid w:val="00A76AFF"/>
    <w:rsid w:val="00A77378"/>
    <w:rsid w:val="00A84124"/>
    <w:rsid w:val="00A86555"/>
    <w:rsid w:val="00A86989"/>
    <w:rsid w:val="00A909E2"/>
    <w:rsid w:val="00A91C03"/>
    <w:rsid w:val="00A91EF5"/>
    <w:rsid w:val="00A92E04"/>
    <w:rsid w:val="00A97164"/>
    <w:rsid w:val="00AA0E73"/>
    <w:rsid w:val="00AA18F5"/>
    <w:rsid w:val="00AA43E7"/>
    <w:rsid w:val="00AA47A0"/>
    <w:rsid w:val="00AA59E2"/>
    <w:rsid w:val="00AA5AAC"/>
    <w:rsid w:val="00AA5B91"/>
    <w:rsid w:val="00AA7F75"/>
    <w:rsid w:val="00AB1870"/>
    <w:rsid w:val="00AB2CCF"/>
    <w:rsid w:val="00AB33EE"/>
    <w:rsid w:val="00AB6384"/>
    <w:rsid w:val="00AB6EB6"/>
    <w:rsid w:val="00AC0618"/>
    <w:rsid w:val="00AC1610"/>
    <w:rsid w:val="00AC1884"/>
    <w:rsid w:val="00AC2581"/>
    <w:rsid w:val="00AC30E8"/>
    <w:rsid w:val="00AC3537"/>
    <w:rsid w:val="00AC45D4"/>
    <w:rsid w:val="00AC4DAF"/>
    <w:rsid w:val="00AC79E4"/>
    <w:rsid w:val="00AD062F"/>
    <w:rsid w:val="00AD1641"/>
    <w:rsid w:val="00AD27BD"/>
    <w:rsid w:val="00AD446A"/>
    <w:rsid w:val="00AD44C2"/>
    <w:rsid w:val="00AD7F0B"/>
    <w:rsid w:val="00AE0ACC"/>
    <w:rsid w:val="00AF17E5"/>
    <w:rsid w:val="00AF484F"/>
    <w:rsid w:val="00AF4C85"/>
    <w:rsid w:val="00AF54F4"/>
    <w:rsid w:val="00AF6487"/>
    <w:rsid w:val="00AF6CE5"/>
    <w:rsid w:val="00AF7287"/>
    <w:rsid w:val="00AF7DA6"/>
    <w:rsid w:val="00B0027D"/>
    <w:rsid w:val="00B0181C"/>
    <w:rsid w:val="00B02CD2"/>
    <w:rsid w:val="00B0345F"/>
    <w:rsid w:val="00B03C70"/>
    <w:rsid w:val="00B04BEC"/>
    <w:rsid w:val="00B0511C"/>
    <w:rsid w:val="00B0638D"/>
    <w:rsid w:val="00B07301"/>
    <w:rsid w:val="00B108B6"/>
    <w:rsid w:val="00B14CA2"/>
    <w:rsid w:val="00B15165"/>
    <w:rsid w:val="00B15F03"/>
    <w:rsid w:val="00B20648"/>
    <w:rsid w:val="00B21FF9"/>
    <w:rsid w:val="00B2327F"/>
    <w:rsid w:val="00B23A00"/>
    <w:rsid w:val="00B24D70"/>
    <w:rsid w:val="00B30B1A"/>
    <w:rsid w:val="00B33260"/>
    <w:rsid w:val="00B33971"/>
    <w:rsid w:val="00B35C2C"/>
    <w:rsid w:val="00B3606E"/>
    <w:rsid w:val="00B425A4"/>
    <w:rsid w:val="00B44655"/>
    <w:rsid w:val="00B47723"/>
    <w:rsid w:val="00B50D39"/>
    <w:rsid w:val="00B514E9"/>
    <w:rsid w:val="00B5309C"/>
    <w:rsid w:val="00B546B1"/>
    <w:rsid w:val="00B5499E"/>
    <w:rsid w:val="00B55195"/>
    <w:rsid w:val="00B61397"/>
    <w:rsid w:val="00B614C5"/>
    <w:rsid w:val="00B62F72"/>
    <w:rsid w:val="00B64224"/>
    <w:rsid w:val="00B64399"/>
    <w:rsid w:val="00B65A19"/>
    <w:rsid w:val="00B66017"/>
    <w:rsid w:val="00B66492"/>
    <w:rsid w:val="00B668FB"/>
    <w:rsid w:val="00B707C7"/>
    <w:rsid w:val="00B71DBB"/>
    <w:rsid w:val="00B74248"/>
    <w:rsid w:val="00B74A82"/>
    <w:rsid w:val="00B75165"/>
    <w:rsid w:val="00B759A0"/>
    <w:rsid w:val="00B818C6"/>
    <w:rsid w:val="00B82278"/>
    <w:rsid w:val="00B86457"/>
    <w:rsid w:val="00B90700"/>
    <w:rsid w:val="00B913DB"/>
    <w:rsid w:val="00B977D0"/>
    <w:rsid w:val="00BA599A"/>
    <w:rsid w:val="00BA65B2"/>
    <w:rsid w:val="00BB06AD"/>
    <w:rsid w:val="00BB2517"/>
    <w:rsid w:val="00BB366E"/>
    <w:rsid w:val="00BB37CE"/>
    <w:rsid w:val="00BB3E58"/>
    <w:rsid w:val="00BB3EB5"/>
    <w:rsid w:val="00BB412F"/>
    <w:rsid w:val="00BB5532"/>
    <w:rsid w:val="00BB5C5C"/>
    <w:rsid w:val="00BC5671"/>
    <w:rsid w:val="00BC596B"/>
    <w:rsid w:val="00BC6AA4"/>
    <w:rsid w:val="00BD1CE8"/>
    <w:rsid w:val="00BD2D6B"/>
    <w:rsid w:val="00BD369F"/>
    <w:rsid w:val="00BD56AF"/>
    <w:rsid w:val="00BE15D1"/>
    <w:rsid w:val="00BE1A95"/>
    <w:rsid w:val="00BE2884"/>
    <w:rsid w:val="00BE3692"/>
    <w:rsid w:val="00BE3EB0"/>
    <w:rsid w:val="00BE6D9F"/>
    <w:rsid w:val="00BF1E42"/>
    <w:rsid w:val="00BF2994"/>
    <w:rsid w:val="00BF3197"/>
    <w:rsid w:val="00BF36C9"/>
    <w:rsid w:val="00C030E4"/>
    <w:rsid w:val="00C04F7A"/>
    <w:rsid w:val="00C05B19"/>
    <w:rsid w:val="00C0736A"/>
    <w:rsid w:val="00C12FE9"/>
    <w:rsid w:val="00C13B3D"/>
    <w:rsid w:val="00C1437C"/>
    <w:rsid w:val="00C14CF8"/>
    <w:rsid w:val="00C14E16"/>
    <w:rsid w:val="00C16DA5"/>
    <w:rsid w:val="00C17D03"/>
    <w:rsid w:val="00C215A4"/>
    <w:rsid w:val="00C21ECE"/>
    <w:rsid w:val="00C25D69"/>
    <w:rsid w:val="00C2687E"/>
    <w:rsid w:val="00C2695E"/>
    <w:rsid w:val="00C26A11"/>
    <w:rsid w:val="00C27AC9"/>
    <w:rsid w:val="00C316D4"/>
    <w:rsid w:val="00C31828"/>
    <w:rsid w:val="00C3462D"/>
    <w:rsid w:val="00C350C2"/>
    <w:rsid w:val="00C3593F"/>
    <w:rsid w:val="00C36A78"/>
    <w:rsid w:val="00C37902"/>
    <w:rsid w:val="00C427AF"/>
    <w:rsid w:val="00C50E66"/>
    <w:rsid w:val="00C53BE1"/>
    <w:rsid w:val="00C54913"/>
    <w:rsid w:val="00C57283"/>
    <w:rsid w:val="00C61325"/>
    <w:rsid w:val="00C65B95"/>
    <w:rsid w:val="00C66454"/>
    <w:rsid w:val="00C66F44"/>
    <w:rsid w:val="00C66FB1"/>
    <w:rsid w:val="00C700A2"/>
    <w:rsid w:val="00C74001"/>
    <w:rsid w:val="00C74965"/>
    <w:rsid w:val="00C762AE"/>
    <w:rsid w:val="00C77CC7"/>
    <w:rsid w:val="00C77EA9"/>
    <w:rsid w:val="00C82C6D"/>
    <w:rsid w:val="00C82E0E"/>
    <w:rsid w:val="00C83F2C"/>
    <w:rsid w:val="00C862F0"/>
    <w:rsid w:val="00C87BDC"/>
    <w:rsid w:val="00C904B7"/>
    <w:rsid w:val="00C93946"/>
    <w:rsid w:val="00C93A43"/>
    <w:rsid w:val="00C941AF"/>
    <w:rsid w:val="00C965BD"/>
    <w:rsid w:val="00C9668D"/>
    <w:rsid w:val="00CA0CDD"/>
    <w:rsid w:val="00CA164C"/>
    <w:rsid w:val="00CA1A49"/>
    <w:rsid w:val="00CA1CDC"/>
    <w:rsid w:val="00CA3454"/>
    <w:rsid w:val="00CA3503"/>
    <w:rsid w:val="00CA38D8"/>
    <w:rsid w:val="00CA3E5D"/>
    <w:rsid w:val="00CA57F0"/>
    <w:rsid w:val="00CA616E"/>
    <w:rsid w:val="00CA6E97"/>
    <w:rsid w:val="00CB1AFC"/>
    <w:rsid w:val="00CB278D"/>
    <w:rsid w:val="00CB3C3E"/>
    <w:rsid w:val="00CB3FAD"/>
    <w:rsid w:val="00CB658A"/>
    <w:rsid w:val="00CB77F0"/>
    <w:rsid w:val="00CC376D"/>
    <w:rsid w:val="00CC3CC9"/>
    <w:rsid w:val="00CC4FCE"/>
    <w:rsid w:val="00CC5D3C"/>
    <w:rsid w:val="00CC60AF"/>
    <w:rsid w:val="00CD1A28"/>
    <w:rsid w:val="00CD29F7"/>
    <w:rsid w:val="00CD3881"/>
    <w:rsid w:val="00CD4B7F"/>
    <w:rsid w:val="00CD4F4A"/>
    <w:rsid w:val="00CD5C49"/>
    <w:rsid w:val="00CD7B32"/>
    <w:rsid w:val="00CE066E"/>
    <w:rsid w:val="00CE1407"/>
    <w:rsid w:val="00CE15CD"/>
    <w:rsid w:val="00CE1FFB"/>
    <w:rsid w:val="00CE3AD0"/>
    <w:rsid w:val="00CE50A3"/>
    <w:rsid w:val="00CE53DA"/>
    <w:rsid w:val="00CE65CB"/>
    <w:rsid w:val="00CE7124"/>
    <w:rsid w:val="00CF0AB6"/>
    <w:rsid w:val="00CF6412"/>
    <w:rsid w:val="00CF6C86"/>
    <w:rsid w:val="00CF778D"/>
    <w:rsid w:val="00D0088E"/>
    <w:rsid w:val="00D01029"/>
    <w:rsid w:val="00D02E51"/>
    <w:rsid w:val="00D03340"/>
    <w:rsid w:val="00D05119"/>
    <w:rsid w:val="00D05668"/>
    <w:rsid w:val="00D107F1"/>
    <w:rsid w:val="00D10B6A"/>
    <w:rsid w:val="00D14FF0"/>
    <w:rsid w:val="00D162AC"/>
    <w:rsid w:val="00D168FD"/>
    <w:rsid w:val="00D16D1F"/>
    <w:rsid w:val="00D16E34"/>
    <w:rsid w:val="00D174AD"/>
    <w:rsid w:val="00D20313"/>
    <w:rsid w:val="00D20637"/>
    <w:rsid w:val="00D20C8D"/>
    <w:rsid w:val="00D22848"/>
    <w:rsid w:val="00D23AB0"/>
    <w:rsid w:val="00D24C54"/>
    <w:rsid w:val="00D258AC"/>
    <w:rsid w:val="00D27BAB"/>
    <w:rsid w:val="00D30625"/>
    <w:rsid w:val="00D31178"/>
    <w:rsid w:val="00D31A87"/>
    <w:rsid w:val="00D32541"/>
    <w:rsid w:val="00D36D0B"/>
    <w:rsid w:val="00D374B5"/>
    <w:rsid w:val="00D3759E"/>
    <w:rsid w:val="00D37C99"/>
    <w:rsid w:val="00D426B7"/>
    <w:rsid w:val="00D426FC"/>
    <w:rsid w:val="00D4411F"/>
    <w:rsid w:val="00D511D6"/>
    <w:rsid w:val="00D55F05"/>
    <w:rsid w:val="00D61529"/>
    <w:rsid w:val="00D61640"/>
    <w:rsid w:val="00D65CE7"/>
    <w:rsid w:val="00D6699B"/>
    <w:rsid w:val="00D70A2F"/>
    <w:rsid w:val="00D70F20"/>
    <w:rsid w:val="00D72983"/>
    <w:rsid w:val="00D72D77"/>
    <w:rsid w:val="00D75EBD"/>
    <w:rsid w:val="00D75F0C"/>
    <w:rsid w:val="00D76F89"/>
    <w:rsid w:val="00D7770F"/>
    <w:rsid w:val="00D77F92"/>
    <w:rsid w:val="00D813AD"/>
    <w:rsid w:val="00D83BA3"/>
    <w:rsid w:val="00D85B6F"/>
    <w:rsid w:val="00D86CD3"/>
    <w:rsid w:val="00D87133"/>
    <w:rsid w:val="00D87AE8"/>
    <w:rsid w:val="00D917D2"/>
    <w:rsid w:val="00D92BD2"/>
    <w:rsid w:val="00D95F87"/>
    <w:rsid w:val="00DA1509"/>
    <w:rsid w:val="00DA1DC8"/>
    <w:rsid w:val="00DA39B6"/>
    <w:rsid w:val="00DA459B"/>
    <w:rsid w:val="00DA50F6"/>
    <w:rsid w:val="00DB0CC1"/>
    <w:rsid w:val="00DB0FBF"/>
    <w:rsid w:val="00DB2AE9"/>
    <w:rsid w:val="00DC2767"/>
    <w:rsid w:val="00DC6D5D"/>
    <w:rsid w:val="00DC6F0C"/>
    <w:rsid w:val="00DC772A"/>
    <w:rsid w:val="00DD5E9F"/>
    <w:rsid w:val="00DE042B"/>
    <w:rsid w:val="00DE0D00"/>
    <w:rsid w:val="00DE4800"/>
    <w:rsid w:val="00DE5969"/>
    <w:rsid w:val="00DE691D"/>
    <w:rsid w:val="00DE7933"/>
    <w:rsid w:val="00DF0177"/>
    <w:rsid w:val="00DF5E56"/>
    <w:rsid w:val="00E02469"/>
    <w:rsid w:val="00E02F4B"/>
    <w:rsid w:val="00E11428"/>
    <w:rsid w:val="00E114E7"/>
    <w:rsid w:val="00E118BE"/>
    <w:rsid w:val="00E11E5B"/>
    <w:rsid w:val="00E12F3E"/>
    <w:rsid w:val="00E14374"/>
    <w:rsid w:val="00E14E65"/>
    <w:rsid w:val="00E154D6"/>
    <w:rsid w:val="00E15BD6"/>
    <w:rsid w:val="00E17D53"/>
    <w:rsid w:val="00E201B3"/>
    <w:rsid w:val="00E206C7"/>
    <w:rsid w:val="00E20B82"/>
    <w:rsid w:val="00E2454A"/>
    <w:rsid w:val="00E24FC3"/>
    <w:rsid w:val="00E36576"/>
    <w:rsid w:val="00E37942"/>
    <w:rsid w:val="00E4024F"/>
    <w:rsid w:val="00E40B83"/>
    <w:rsid w:val="00E4126A"/>
    <w:rsid w:val="00E416EF"/>
    <w:rsid w:val="00E42831"/>
    <w:rsid w:val="00E44279"/>
    <w:rsid w:val="00E447AD"/>
    <w:rsid w:val="00E47B48"/>
    <w:rsid w:val="00E51ED1"/>
    <w:rsid w:val="00E52B73"/>
    <w:rsid w:val="00E52E35"/>
    <w:rsid w:val="00E55765"/>
    <w:rsid w:val="00E558C6"/>
    <w:rsid w:val="00E560F7"/>
    <w:rsid w:val="00E57A79"/>
    <w:rsid w:val="00E6191F"/>
    <w:rsid w:val="00E67C1E"/>
    <w:rsid w:val="00E7173C"/>
    <w:rsid w:val="00E7675A"/>
    <w:rsid w:val="00E82C27"/>
    <w:rsid w:val="00E82EF2"/>
    <w:rsid w:val="00E85752"/>
    <w:rsid w:val="00E86B29"/>
    <w:rsid w:val="00E872D6"/>
    <w:rsid w:val="00E93F13"/>
    <w:rsid w:val="00E94552"/>
    <w:rsid w:val="00EA142C"/>
    <w:rsid w:val="00EA1552"/>
    <w:rsid w:val="00EA4426"/>
    <w:rsid w:val="00EA479E"/>
    <w:rsid w:val="00EA4FC7"/>
    <w:rsid w:val="00EA603E"/>
    <w:rsid w:val="00EA665F"/>
    <w:rsid w:val="00EB1988"/>
    <w:rsid w:val="00EB1DD7"/>
    <w:rsid w:val="00EB2706"/>
    <w:rsid w:val="00EB38EF"/>
    <w:rsid w:val="00EB6268"/>
    <w:rsid w:val="00EB7687"/>
    <w:rsid w:val="00EC3B50"/>
    <w:rsid w:val="00EC5B25"/>
    <w:rsid w:val="00EC7767"/>
    <w:rsid w:val="00ED0E6E"/>
    <w:rsid w:val="00ED456D"/>
    <w:rsid w:val="00ED6414"/>
    <w:rsid w:val="00ED7D94"/>
    <w:rsid w:val="00EE0C71"/>
    <w:rsid w:val="00EE0F34"/>
    <w:rsid w:val="00EE1977"/>
    <w:rsid w:val="00EE1B8A"/>
    <w:rsid w:val="00EE3874"/>
    <w:rsid w:val="00EE3EA1"/>
    <w:rsid w:val="00EE7F6C"/>
    <w:rsid w:val="00EF00B3"/>
    <w:rsid w:val="00EF0F0A"/>
    <w:rsid w:val="00EF7A0D"/>
    <w:rsid w:val="00F007F7"/>
    <w:rsid w:val="00F0128C"/>
    <w:rsid w:val="00F01D28"/>
    <w:rsid w:val="00F14304"/>
    <w:rsid w:val="00F14451"/>
    <w:rsid w:val="00F14FB1"/>
    <w:rsid w:val="00F161CE"/>
    <w:rsid w:val="00F16AC3"/>
    <w:rsid w:val="00F21E99"/>
    <w:rsid w:val="00F23DD0"/>
    <w:rsid w:val="00F23EE7"/>
    <w:rsid w:val="00F255B9"/>
    <w:rsid w:val="00F25DC7"/>
    <w:rsid w:val="00F2701F"/>
    <w:rsid w:val="00F32B2E"/>
    <w:rsid w:val="00F3351E"/>
    <w:rsid w:val="00F36764"/>
    <w:rsid w:val="00F36E7A"/>
    <w:rsid w:val="00F371B7"/>
    <w:rsid w:val="00F51E87"/>
    <w:rsid w:val="00F572A2"/>
    <w:rsid w:val="00F57BB2"/>
    <w:rsid w:val="00F6002A"/>
    <w:rsid w:val="00F613F2"/>
    <w:rsid w:val="00F635A1"/>
    <w:rsid w:val="00F66693"/>
    <w:rsid w:val="00F66DD9"/>
    <w:rsid w:val="00F70379"/>
    <w:rsid w:val="00F710B4"/>
    <w:rsid w:val="00F71163"/>
    <w:rsid w:val="00F71884"/>
    <w:rsid w:val="00F732AD"/>
    <w:rsid w:val="00F75325"/>
    <w:rsid w:val="00F75DFC"/>
    <w:rsid w:val="00F76398"/>
    <w:rsid w:val="00F766EE"/>
    <w:rsid w:val="00F76BBD"/>
    <w:rsid w:val="00F80569"/>
    <w:rsid w:val="00F82026"/>
    <w:rsid w:val="00F82AF6"/>
    <w:rsid w:val="00F911F0"/>
    <w:rsid w:val="00F92A18"/>
    <w:rsid w:val="00F96363"/>
    <w:rsid w:val="00FA1526"/>
    <w:rsid w:val="00FA24BB"/>
    <w:rsid w:val="00FA3F69"/>
    <w:rsid w:val="00FA420A"/>
    <w:rsid w:val="00FA4B9B"/>
    <w:rsid w:val="00FA66BD"/>
    <w:rsid w:val="00FA6740"/>
    <w:rsid w:val="00FB122C"/>
    <w:rsid w:val="00FB1FD0"/>
    <w:rsid w:val="00FB2100"/>
    <w:rsid w:val="00FB392D"/>
    <w:rsid w:val="00FB4DD8"/>
    <w:rsid w:val="00FC0DBA"/>
    <w:rsid w:val="00FC335B"/>
    <w:rsid w:val="00FC5E83"/>
    <w:rsid w:val="00FC6879"/>
    <w:rsid w:val="00FD1964"/>
    <w:rsid w:val="00FD2A6D"/>
    <w:rsid w:val="00FD2CC2"/>
    <w:rsid w:val="00FD4103"/>
    <w:rsid w:val="00FD6311"/>
    <w:rsid w:val="00FD6E54"/>
    <w:rsid w:val="00FE0022"/>
    <w:rsid w:val="00FE08C1"/>
    <w:rsid w:val="00FE164D"/>
    <w:rsid w:val="00FE25FF"/>
    <w:rsid w:val="00FE3A0D"/>
    <w:rsid w:val="00FE4712"/>
    <w:rsid w:val="00FE59E0"/>
    <w:rsid w:val="00FE6507"/>
    <w:rsid w:val="00FF1ED4"/>
    <w:rsid w:val="00FF1EED"/>
    <w:rsid w:val="00FF2D3C"/>
    <w:rsid w:val="00FF4926"/>
    <w:rsid w:val="00FF4F8D"/>
    <w:rsid w:val="00FF4FD2"/>
    <w:rsid w:val="00FF5167"/>
    <w:rsid w:val="00FF557F"/>
    <w:rsid w:val="00FF7FD9"/>
    <w:rsid w:val="028E25C8"/>
    <w:rsid w:val="09461CB7"/>
    <w:rsid w:val="099B5350"/>
    <w:rsid w:val="0A5255B9"/>
    <w:rsid w:val="0CFA1AA5"/>
    <w:rsid w:val="11CD1779"/>
    <w:rsid w:val="11D268F7"/>
    <w:rsid w:val="12C76635"/>
    <w:rsid w:val="15E41F33"/>
    <w:rsid w:val="185E5E5E"/>
    <w:rsid w:val="19D70C35"/>
    <w:rsid w:val="1B7A17D0"/>
    <w:rsid w:val="1F216BA4"/>
    <w:rsid w:val="21477A07"/>
    <w:rsid w:val="26BA6FD2"/>
    <w:rsid w:val="2BF70A87"/>
    <w:rsid w:val="36C8026D"/>
    <w:rsid w:val="38DE2B04"/>
    <w:rsid w:val="3A6E113B"/>
    <w:rsid w:val="3A912BB3"/>
    <w:rsid w:val="3E893F1E"/>
    <w:rsid w:val="41CF1FF4"/>
    <w:rsid w:val="466F1122"/>
    <w:rsid w:val="54560E11"/>
    <w:rsid w:val="56D67C49"/>
    <w:rsid w:val="5BB14682"/>
    <w:rsid w:val="5C6B2782"/>
    <w:rsid w:val="65140181"/>
    <w:rsid w:val="676378FD"/>
    <w:rsid w:val="690861D7"/>
    <w:rsid w:val="697952BC"/>
    <w:rsid w:val="6A013F23"/>
    <w:rsid w:val="6ABF5F21"/>
    <w:rsid w:val="6C1D155B"/>
    <w:rsid w:val="6EF3587F"/>
    <w:rsid w:val="729809DA"/>
    <w:rsid w:val="76EC5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0B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AD7F0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D7F0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D7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D7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AD7F0B"/>
    <w:rPr>
      <w:b/>
      <w:bCs/>
    </w:rPr>
  </w:style>
  <w:style w:type="character" w:styleId="a8">
    <w:name w:val="annotation reference"/>
    <w:basedOn w:val="a0"/>
    <w:uiPriority w:val="99"/>
    <w:qFormat/>
    <w:rsid w:val="00AD7F0B"/>
    <w:rPr>
      <w:rFonts w:cs="Times New Roman"/>
      <w:sz w:val="21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AD7F0B"/>
    <w:rPr>
      <w:rFonts w:cs="Times New Roman"/>
    </w:rPr>
  </w:style>
  <w:style w:type="character" w:customStyle="1" w:styleId="Char2">
    <w:name w:val="页眉 Char"/>
    <w:basedOn w:val="a0"/>
    <w:link w:val="a6"/>
    <w:uiPriority w:val="99"/>
    <w:qFormat/>
    <w:rsid w:val="00AD7F0B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D7F0B"/>
    <w:rPr>
      <w:rFonts w:cs="Times New Roman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AD7F0B"/>
    <w:rPr>
      <w:rFonts w:cs="Times New Roman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D7F0B"/>
    <w:rPr>
      <w:rFonts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AD7F0B"/>
    <w:rPr>
      <w:rFonts w:cs="Times New Roman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AD7F0B"/>
    <w:pPr>
      <w:ind w:firstLineChars="200" w:firstLine="420"/>
    </w:pPr>
  </w:style>
  <w:style w:type="paragraph" w:customStyle="1" w:styleId="neirong">
    <w:name w:val="neirong"/>
    <w:basedOn w:val="a"/>
    <w:rsid w:val="00AD7F0B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修订2"/>
    <w:hidden/>
    <w:uiPriority w:val="99"/>
    <w:semiHidden/>
    <w:rsid w:val="00AD7F0B"/>
    <w:rPr>
      <w:rFonts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1585</Characters>
  <Application>Microsoft Office Word</Application>
  <DocSecurity>4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ZHONGM</cp:lastModifiedBy>
  <cp:revision>2</cp:revision>
  <cp:lastPrinted>2021-06-01T05:54:00Z</cp:lastPrinted>
  <dcterms:created xsi:type="dcterms:W3CDTF">2025-12-21T16:02:00Z</dcterms:created>
  <dcterms:modified xsi:type="dcterms:W3CDTF">2025-12-21T16:02:00Z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196CB3C85D284CC88CC98C4B292F4CF5</vt:lpwstr>
  </property>
</Properties>
</file>