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75E8" w:rsidRDefault="009D75E8">
      <w:pPr>
        <w:pStyle w:val="XBRL2"/>
        <w:spacing w:before="156"/>
        <w:rPr>
          <w:lang w:eastAsia="zh-CN"/>
        </w:rPr>
      </w:pPr>
      <w:bookmarkStart w:id="0" w:name="_Toc510201001"/>
      <w:bookmarkEnd w:id="0"/>
      <w:r>
        <w:rPr>
          <w:lang w:eastAsia="zh-CN"/>
        </w:rPr>
        <w:t xml:space="preserve">　</w:t>
      </w:r>
      <w:r>
        <w:rPr>
          <w:lang w:eastAsia="zh-CN"/>
        </w:rPr>
        <w:t xml:space="preserve"> </w:t>
      </w:r>
    </w:p>
    <w:p w:rsidR="009D75E8" w:rsidRDefault="009D75E8">
      <w:pPr>
        <w:jc w:val="center"/>
      </w:pPr>
      <w:r>
        <w:rPr>
          <w:rFonts w:cs="Times New Roman" w:hint="eastAsia"/>
          <w:b/>
          <w:sz w:val="48"/>
          <w:szCs w:val="48"/>
        </w:rPr>
        <w:t>关于限制工银瑞信精选平衡混合型证券投资基金机构投资者大额申购、转换转入、定期定额投资业务金额的公告</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560" w:lineRule="exact"/>
        <w:jc w:val="center"/>
        <w:rPr>
          <w:rFonts w:hint="eastAsia"/>
          <w:color w:val="000000"/>
          <w:kern w:val="0"/>
          <w:sz w:val="18"/>
        </w:rPr>
      </w:pPr>
      <w:r>
        <w:rPr>
          <w:rFonts w:hint="eastAsia"/>
          <w:color w:val="000000"/>
          <w:kern w:val="0"/>
          <w:sz w:val="18"/>
        </w:rPr>
        <w:t xml:space="preserve">　 </w:t>
      </w:r>
    </w:p>
    <w:p w:rsidR="009D75E8" w:rsidRDefault="009D75E8">
      <w:pPr>
        <w:spacing w:line="360" w:lineRule="auto"/>
        <w:jc w:val="center"/>
        <w:rPr>
          <w:rFonts w:hint="eastAsia"/>
        </w:rPr>
      </w:pPr>
      <w:r>
        <w:rPr>
          <w:rFonts w:hint="eastAsia"/>
          <w:b/>
          <w:bCs/>
          <w:sz w:val="24"/>
          <w:szCs w:val="30"/>
        </w:rPr>
        <w:t>公告送出日期：2025年12月20日</w:t>
      </w:r>
    </w:p>
    <w:p w:rsidR="009D75E8" w:rsidRDefault="009D75E8">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1472"/>
        <w:gridCol w:w="2863"/>
        <w:gridCol w:w="4726"/>
      </w:tblGrid>
      <w:tr w:rsidR="009D75E8" w:rsidTr="00CE2F25">
        <w:trPr>
          <w:divId w:val="226652668"/>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ascii="Calibri" w:hAnsi="Calibri" w:hint="eastAsia"/>
              </w:rPr>
              <w:t>基金名称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工银瑞信精选平衡混合型证券投资基金</w:t>
            </w:r>
          </w:p>
        </w:tc>
      </w:tr>
      <w:tr w:rsidR="009D75E8" w:rsidTr="00CE2F25">
        <w:trPr>
          <w:divId w:val="226652668"/>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ascii="Calibri" w:hAnsi="Calibri" w:hint="eastAsia"/>
              </w:rPr>
              <w:t>基金简称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工银精选平衡混合</w:t>
            </w:r>
            <w:r>
              <w:rPr>
                <w:rFonts w:cs="Calibri" w:hint="eastAsia"/>
              </w:rPr>
              <w:t xml:space="preserve"> </w:t>
            </w:r>
          </w:p>
        </w:tc>
      </w:tr>
      <w:tr w:rsidR="009D75E8" w:rsidTr="00CE2F25">
        <w:trPr>
          <w:divId w:val="226652668"/>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ascii="Calibri" w:hAnsi="Calibri" w:hint="eastAsia"/>
              </w:rPr>
              <w:t>基金主代码</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483003</w:t>
            </w:r>
          </w:p>
        </w:tc>
      </w:tr>
      <w:tr w:rsidR="009D75E8" w:rsidTr="00CE2F25">
        <w:trPr>
          <w:divId w:val="226652668"/>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ascii="Calibri" w:hAnsi="Calibri" w:hint="eastAsia"/>
              </w:rPr>
              <w:t>基金管理人名称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工银瑞信基金管理有限公司</w:t>
            </w:r>
          </w:p>
        </w:tc>
      </w:tr>
      <w:tr w:rsidR="009D75E8" w:rsidTr="00CE2F25">
        <w:trPr>
          <w:divId w:val="226652668"/>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ascii="Calibri" w:hAnsi="Calibri" w:hint="eastAsia"/>
              </w:rPr>
              <w:t>公告依据</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根据《中华人民共和国证券投资基金法》、《公开募集证券投资基金运作管理办法》、《公开募集证券投资基金信息披露管理办法》及其他有关法律法规以及本基金相关法律文件等。</w:t>
            </w:r>
          </w:p>
        </w:tc>
      </w:tr>
      <w:tr w:rsidR="009D75E8" w:rsidTr="00CE2F25">
        <w:trPr>
          <w:divId w:val="226652668"/>
          <w:trHeight w:val="506"/>
        </w:trPr>
        <w:tc>
          <w:tcPr>
            <w:tcW w:w="1384" w:type="dxa"/>
            <w:vMerge w:val="restart"/>
            <w:tcBorders>
              <w:top w:val="nil"/>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ascii="Calibri" w:hAnsi="Calibri" w:hint="eastAsia"/>
              </w:rPr>
              <w:t>暂停相关业务的起始日、金额及原因说明</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ascii="Calibri" w:hAnsi="Calibri" w:hint="eastAsia"/>
              </w:rPr>
              <w:t>暂停大额申购起始日</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2025年12月22日</w:t>
            </w:r>
          </w:p>
        </w:tc>
      </w:tr>
      <w:tr w:rsidR="009D75E8" w:rsidTr="00CE2F25">
        <w:trPr>
          <w:divId w:val="226652668"/>
          <w:trHeight w:val="506"/>
        </w:trPr>
        <w:tc>
          <w:tcPr>
            <w:tcW w:w="4077" w:type="dxa"/>
            <w:vMerge/>
            <w:tcBorders>
              <w:top w:val="nil"/>
              <w:left w:val="single" w:sz="4" w:space="0" w:color="000000"/>
              <w:bottom w:val="single" w:sz="4" w:space="0" w:color="000000"/>
              <w:right w:val="single" w:sz="4" w:space="0" w:color="000000"/>
            </w:tcBorders>
            <w:vAlign w:val="center"/>
            <w:hideMark/>
          </w:tcPr>
          <w:p w:rsidR="009D75E8" w:rsidRDefault="009D75E8">
            <w:pPr>
              <w:widowControl/>
              <w:jc w:val="left"/>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ascii="Calibri" w:hAnsi="Calibri" w:hint="eastAsia"/>
              </w:rPr>
              <w:t>暂停大额转换转入起始日</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2025年12月22日</w:t>
            </w:r>
          </w:p>
        </w:tc>
      </w:tr>
      <w:tr w:rsidR="009D75E8" w:rsidTr="00CE2F25">
        <w:trPr>
          <w:divId w:val="226652668"/>
          <w:trHeight w:val="506"/>
        </w:trPr>
        <w:tc>
          <w:tcPr>
            <w:tcW w:w="4077" w:type="dxa"/>
            <w:vMerge/>
            <w:tcBorders>
              <w:top w:val="nil"/>
              <w:left w:val="single" w:sz="4" w:space="0" w:color="000000"/>
              <w:bottom w:val="single" w:sz="4" w:space="0" w:color="000000"/>
              <w:right w:val="single" w:sz="4" w:space="0" w:color="000000"/>
            </w:tcBorders>
            <w:vAlign w:val="center"/>
            <w:hideMark/>
          </w:tcPr>
          <w:p w:rsidR="009D75E8" w:rsidRDefault="009D75E8">
            <w:pPr>
              <w:widowControl/>
              <w:jc w:val="left"/>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ascii="Calibri" w:hAnsi="Calibri" w:hint="eastAsia"/>
              </w:rPr>
              <w:t>限制申购金额（单位：人民币元</w:t>
            </w:r>
            <w:r>
              <w:rPr>
                <w:rFonts w:hint="eastAsia"/>
              </w:rPr>
              <w:t xml:space="preserve"> </w:t>
            </w:r>
            <w:r w:rsidRPr="00CE2F25">
              <w:rPr>
                <w:rFonts w:ascii="Calibri" w:hAnsi="Calibri" w:hint="eastAsia"/>
              </w:rPr>
              <w:t>）</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1,000,000.00</w:t>
            </w:r>
          </w:p>
        </w:tc>
      </w:tr>
      <w:tr w:rsidR="009D75E8" w:rsidTr="00CE2F25">
        <w:trPr>
          <w:divId w:val="226652668"/>
          <w:trHeight w:val="506"/>
        </w:trPr>
        <w:tc>
          <w:tcPr>
            <w:tcW w:w="4077" w:type="dxa"/>
            <w:vMerge/>
            <w:tcBorders>
              <w:top w:val="nil"/>
              <w:left w:val="single" w:sz="4" w:space="0" w:color="000000"/>
              <w:bottom w:val="single" w:sz="4" w:space="0" w:color="000000"/>
              <w:right w:val="single" w:sz="4" w:space="0" w:color="000000"/>
            </w:tcBorders>
            <w:vAlign w:val="center"/>
            <w:hideMark/>
          </w:tcPr>
          <w:p w:rsidR="009D75E8" w:rsidRDefault="009D75E8">
            <w:pPr>
              <w:widowControl/>
              <w:jc w:val="left"/>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 xml:space="preserve">限制转换转入金额（单位：人民币元 ） </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1,000,000.00</w:t>
            </w:r>
          </w:p>
        </w:tc>
      </w:tr>
      <w:tr w:rsidR="009D75E8" w:rsidTr="00CE2F25">
        <w:trPr>
          <w:divId w:val="226652668"/>
          <w:trHeight w:val="506"/>
        </w:trPr>
        <w:tc>
          <w:tcPr>
            <w:tcW w:w="4077" w:type="dxa"/>
            <w:vMerge/>
            <w:tcBorders>
              <w:top w:val="nil"/>
              <w:left w:val="single" w:sz="4" w:space="0" w:color="000000"/>
              <w:bottom w:val="single" w:sz="4" w:space="0" w:color="000000"/>
              <w:right w:val="single" w:sz="4" w:space="0" w:color="000000"/>
            </w:tcBorders>
            <w:vAlign w:val="center"/>
            <w:hideMark/>
          </w:tcPr>
          <w:p w:rsidR="009D75E8" w:rsidRDefault="009D75E8">
            <w:pPr>
              <w:widowControl/>
              <w:jc w:val="left"/>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暂停大额申购、大额转换转入、大额定期定额投资的原因说明</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9D75E8" w:rsidRDefault="009D75E8">
            <w:pPr>
              <w:rPr>
                <w:rFonts w:hint="eastAsia"/>
              </w:rPr>
            </w:pPr>
            <w:r w:rsidRPr="00CE2F25">
              <w:rPr>
                <w:rFonts w:hint="eastAsia"/>
              </w:rPr>
              <w:t>保护基金持有人利益</w:t>
            </w:r>
          </w:p>
        </w:tc>
      </w:tr>
    </w:tbl>
    <w:p w:rsidR="009D75E8" w:rsidRDefault="009D75E8">
      <w:pPr>
        <w:adjustRightInd w:val="0"/>
        <w:snapToGrid w:val="0"/>
        <w:spacing w:line="360" w:lineRule="auto"/>
        <w:jc w:val="left"/>
        <w:divId w:val="226652668"/>
        <w:rPr>
          <w:rFonts w:hint="eastAsia"/>
        </w:rPr>
      </w:pPr>
      <w:r>
        <w:rPr>
          <w:rFonts w:hint="eastAsia"/>
        </w:rPr>
        <w:t>注:</w:t>
      </w:r>
      <w:r>
        <w:rPr>
          <w:rFonts w:hint="eastAsia"/>
          <w:szCs w:val="24"/>
          <w:lang/>
        </w:rPr>
        <w:t xml:space="preserve">1、2025年12月22日起，本基金限制机构投资者大额申购、转换转入、定期定额投资业务金额为100万元。2、本基金恢复大额申购、转换转入、定期定额投资业务的具体时间另行公告。 </w:t>
      </w:r>
    </w:p>
    <w:p w:rsidR="009D75E8" w:rsidRDefault="009D75E8">
      <w:pPr>
        <w:pStyle w:val="XBRLTitle1"/>
        <w:spacing w:before="156" w:line="360" w:lineRule="auto"/>
        <w:jc w:val="left"/>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B16851" w:rsidRDefault="009D75E8" w:rsidP="00B16851">
      <w:pPr>
        <w:pStyle w:val="a5"/>
        <w:spacing w:before="0" w:beforeAutospacing="0" w:after="0" w:afterAutospacing="0" w:line="580" w:lineRule="exact"/>
        <w:ind w:firstLineChars="200" w:firstLine="420"/>
        <w:rPr>
          <w:sz w:val="21"/>
          <w:szCs w:val="21"/>
        </w:rPr>
      </w:pPr>
      <w:r>
        <w:rPr>
          <w:rFonts w:hint="eastAsia"/>
          <w:sz w:val="21"/>
          <w:szCs w:val="21"/>
        </w:rPr>
        <w:t>1、自2025年12月22日起，对本基金的机构投资者单日单个基金账户单笔或多笔累计高于100万元的申购、定期定额投资、转换转入业务进行限制；如机构投资者单日单个基金账户单笔或多笔累计申请金额高于100万元的，本基金管理人有权拒绝。</w:t>
      </w:r>
      <w:r>
        <w:rPr>
          <w:rFonts w:hint="eastAsia"/>
          <w:sz w:val="21"/>
          <w:szCs w:val="21"/>
        </w:rPr>
        <w:br/>
      </w:r>
      <w:r w:rsidR="00B16851">
        <w:rPr>
          <w:sz w:val="21"/>
          <w:szCs w:val="21"/>
        </w:rPr>
        <w:t xml:space="preserve">    </w:t>
      </w:r>
      <w:r>
        <w:rPr>
          <w:rFonts w:hint="eastAsia"/>
          <w:sz w:val="21"/>
          <w:szCs w:val="21"/>
        </w:rPr>
        <w:t>2、在上述期间的交易日，本基金作为转出方的转换业务、赎回业务等其他业务以及本基金管理人管理的其他开放式基金的各项交易业务仍照常办理。</w:t>
      </w:r>
      <w:r>
        <w:rPr>
          <w:rFonts w:hint="eastAsia"/>
          <w:sz w:val="21"/>
          <w:szCs w:val="21"/>
        </w:rPr>
        <w:br/>
      </w:r>
      <w:r w:rsidR="00B16851">
        <w:rPr>
          <w:sz w:val="21"/>
          <w:szCs w:val="21"/>
        </w:rPr>
        <w:t xml:space="preserve">    </w:t>
      </w:r>
      <w:r>
        <w:rPr>
          <w:rFonts w:hint="eastAsia"/>
          <w:sz w:val="21"/>
          <w:szCs w:val="21"/>
        </w:rPr>
        <w:t>3、客户服务电话400-811-9999；本公司网站</w:t>
      </w:r>
      <w:hyperlink r:id="rId8" w:history="1">
        <w:r w:rsidR="00B16851" w:rsidRPr="00B16851">
          <w:rPr>
            <w:rFonts w:hint="eastAsia"/>
          </w:rPr>
          <w:t>www.icbcubs.com.cn</w:t>
        </w:r>
      </w:hyperlink>
      <w:r>
        <w:rPr>
          <w:rFonts w:hint="eastAsia"/>
          <w:sz w:val="21"/>
          <w:szCs w:val="21"/>
        </w:rPr>
        <w:t>。</w:t>
      </w:r>
    </w:p>
    <w:p w:rsidR="009D75E8" w:rsidRPr="00B16851" w:rsidRDefault="00B16851" w:rsidP="00B16851">
      <w:pPr>
        <w:pStyle w:val="a5"/>
        <w:spacing w:before="0" w:beforeAutospacing="0" w:after="0" w:afterAutospacing="0" w:line="580" w:lineRule="exact"/>
        <w:ind w:firstLineChars="200" w:firstLine="420"/>
        <w:rPr>
          <w:sz w:val="21"/>
          <w:szCs w:val="21"/>
        </w:rPr>
      </w:pPr>
      <w:r w:rsidRPr="00B16851">
        <w:rPr>
          <w:rFonts w:hint="eastAsia"/>
          <w:sz w:val="21"/>
          <w:szCs w:val="21"/>
        </w:rPr>
        <w:t>4</w:t>
      </w:r>
      <w:r w:rsidR="009D75E8" w:rsidRPr="00B16851">
        <w:rPr>
          <w:rFonts w:hint="eastAsia"/>
          <w:sz w:val="21"/>
          <w:szCs w:val="21"/>
        </w:rPr>
        <w:t>、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投资品种进行投资。</w:t>
      </w:r>
      <w:r w:rsidR="009D75E8">
        <w:rPr>
          <w:rFonts w:hint="eastAsia"/>
          <w:szCs w:val="24"/>
        </w:rPr>
        <w:br/>
      </w:r>
    </w:p>
    <w:p w:rsidR="00B16851" w:rsidRDefault="00B16851">
      <w:pPr>
        <w:widowControl/>
        <w:spacing w:beforeAutospacing="1" w:afterAutospacing="1"/>
        <w:jc w:val="left"/>
        <w:rPr>
          <w:rFonts w:hint="eastAsia"/>
          <w:kern w:val="0"/>
          <w:sz w:val="24"/>
          <w:szCs w:val="24"/>
        </w:rPr>
      </w:pPr>
    </w:p>
    <w:p w:rsidR="009D75E8" w:rsidRDefault="009D75E8">
      <w:pPr>
        <w:spacing w:line="360" w:lineRule="auto"/>
        <w:ind w:firstLineChars="600" w:firstLine="1446"/>
        <w:jc w:val="right"/>
        <w:rPr>
          <w:rFonts w:hint="eastAsia"/>
          <w:b/>
          <w:bCs/>
          <w:sz w:val="24"/>
          <w:szCs w:val="30"/>
        </w:rPr>
      </w:pPr>
      <w:r>
        <w:rPr>
          <w:rFonts w:hint="eastAsia"/>
          <w:b/>
          <w:bCs/>
          <w:sz w:val="24"/>
          <w:szCs w:val="30"/>
        </w:rPr>
        <w:t xml:space="preserve">　 </w:t>
      </w:r>
    </w:p>
    <w:p w:rsidR="009D75E8" w:rsidRDefault="009D75E8">
      <w:pPr>
        <w:spacing w:line="360" w:lineRule="auto"/>
        <w:ind w:firstLineChars="600" w:firstLine="1446"/>
        <w:jc w:val="right"/>
        <w:rPr>
          <w:rFonts w:hint="eastAsia"/>
          <w:b/>
          <w:bCs/>
          <w:sz w:val="24"/>
          <w:szCs w:val="30"/>
        </w:rPr>
      </w:pPr>
      <w:r>
        <w:rPr>
          <w:rFonts w:hint="eastAsia"/>
          <w:b/>
          <w:bCs/>
          <w:sz w:val="24"/>
          <w:szCs w:val="30"/>
        </w:rPr>
        <w:t xml:space="preserve">　 </w:t>
      </w:r>
    </w:p>
    <w:p w:rsidR="009D75E8" w:rsidRDefault="009D75E8">
      <w:pPr>
        <w:spacing w:line="360" w:lineRule="auto"/>
        <w:ind w:firstLineChars="600" w:firstLine="1446"/>
        <w:jc w:val="right"/>
        <w:rPr>
          <w:rFonts w:hint="eastAsia"/>
        </w:rPr>
      </w:pPr>
      <w:r>
        <w:rPr>
          <w:rFonts w:hint="eastAsia"/>
          <w:b/>
          <w:bCs/>
          <w:sz w:val="24"/>
          <w:szCs w:val="24"/>
        </w:rPr>
        <w:t>工银瑞信基金管理有限公司</w:t>
      </w:r>
    </w:p>
    <w:p w:rsidR="009D75E8" w:rsidRDefault="009D75E8">
      <w:pPr>
        <w:spacing w:line="360" w:lineRule="auto"/>
        <w:ind w:firstLineChars="600" w:firstLine="1446"/>
        <w:jc w:val="right"/>
        <w:rPr>
          <w:rFonts w:hint="eastAsia"/>
        </w:rPr>
      </w:pPr>
      <w:r>
        <w:rPr>
          <w:rFonts w:hint="eastAsia"/>
          <w:b/>
          <w:bCs/>
          <w:sz w:val="24"/>
          <w:szCs w:val="24"/>
        </w:rPr>
        <w:t>2025年12月20日</w:t>
      </w:r>
      <w:bookmarkEnd w:id="22"/>
      <w:r>
        <w:rPr>
          <w:rFonts w:hint="eastAsia"/>
          <w:b/>
          <w:bCs/>
          <w:sz w:val="24"/>
          <w:szCs w:val="24"/>
        </w:rPr>
        <w:t xml:space="preserve"> </w:t>
      </w:r>
    </w:p>
    <w:sectPr w:rsidR="009D75E8">
      <w:headerReference w:type="default" r:id="rId9"/>
      <w:footerReference w:type="default" r:id="rId10"/>
      <w:headerReference w:type="first" r:id="rId11"/>
      <w:footerReference w:type="firs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462" w:rsidRDefault="00FA0462">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FA0462" w:rsidRDefault="00FA0462">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5E8" w:rsidRDefault="009D75E8">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4F7F62">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4F7F62">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5E8" w:rsidRDefault="009D75E8">
    <w:pPr>
      <w:pStyle w:val="aa"/>
      <w:rPr>
        <w:rFonts w:hint="eastAsia"/>
      </w:rPr>
    </w:pPr>
  </w:p>
  <w:p w:rsidR="009D75E8" w:rsidRDefault="009D75E8">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4F7F62">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4F7F62">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9D75E8" w:rsidRDefault="009D75E8">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462" w:rsidRDefault="00FA0462">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FA0462" w:rsidRDefault="00FA0462">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5E8" w:rsidRDefault="009D75E8">
    <w:pPr>
      <w:pStyle w:val="a8"/>
      <w:jc w:val="right"/>
    </w:pPr>
    <w:r>
      <w:rPr>
        <w:rFonts w:hint="eastAsia"/>
      </w:rPr>
      <w:t>关于限制工银瑞信精选平衡混合型证券投资基金机构投资者大额申购、转换转入、定期定额投资业务金额的公告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5E8" w:rsidRDefault="009D75E8">
    <w:pPr>
      <w:pStyle w:val="a8"/>
      <w:jc w:val="right"/>
      <w:rPr>
        <w:rFonts w:hint="eastAsia"/>
      </w:rPr>
    </w:pPr>
    <w:r>
      <w:rPr>
        <w:rFonts w:hint="eastAsia"/>
      </w:rPr>
      <w:t>关于限制工银瑞信精选平衡混合型证券投资基金机构投资者大额申购、转换转入、定期定额投资业务金额的公告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2F25"/>
    <w:rsid w:val="002D0EEC"/>
    <w:rsid w:val="0043320D"/>
    <w:rsid w:val="004F7F62"/>
    <w:rsid w:val="00582098"/>
    <w:rsid w:val="009D75E8"/>
    <w:rsid w:val="00B16851"/>
    <w:rsid w:val="00CE2F25"/>
    <w:rsid w:val="00FA04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22665266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icbcubs.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E3123-25BF-42C6-B540-295CEB80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Words>
  <Characters>858</Characters>
  <Application>Microsoft Office Word</Application>
  <DocSecurity>4</DocSecurity>
  <Lines>7</Lines>
  <Paragraphs>2</Paragraphs>
  <ScaleCrop>false</ScaleCrop>
  <Company/>
  <LinksUpToDate>false</LinksUpToDate>
  <CharactersWithSpaces>1006</CharactersWithSpaces>
  <SharedDoc>false</SharedDoc>
  <HLinks>
    <vt:vector size="6" baseType="variant">
      <vt:variant>
        <vt:i4>6553651</vt:i4>
      </vt:variant>
      <vt:variant>
        <vt:i4>0</vt:i4>
      </vt:variant>
      <vt:variant>
        <vt:i4>0</vt:i4>
      </vt:variant>
      <vt:variant>
        <vt:i4>5</vt:i4>
      </vt:variant>
      <vt:variant>
        <vt:lpwstr>http://www.icbcubs.com.cn/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2025-12-16T08:39:00Z</cp:lastPrinted>
  <dcterms:created xsi:type="dcterms:W3CDTF">2025-12-19T16:01:00Z</dcterms:created>
  <dcterms:modified xsi:type="dcterms:W3CDTF">2025-12-19T16:01:00Z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