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2CA" w:rsidRDefault="00E43AA4">
      <w:pPr>
        <w:autoSpaceDE w:val="0"/>
        <w:autoSpaceDN w:val="0"/>
        <w:adjustRightInd w:val="0"/>
        <w:spacing w:line="480" w:lineRule="exact"/>
        <w:jc w:val="center"/>
        <w:rPr>
          <w:rFonts w:ascii="宋体" w:hAnsi="宋体" w:cs="宋体"/>
          <w:b/>
          <w:color w:val="000000"/>
          <w:kern w:val="0"/>
          <w:sz w:val="24"/>
        </w:rPr>
      </w:pPr>
      <w:r>
        <w:rPr>
          <w:rFonts w:ascii="宋体" w:hAnsi="宋体" w:cs="宋体" w:hint="eastAsia"/>
          <w:b/>
          <w:color w:val="000000"/>
          <w:kern w:val="0"/>
          <w:sz w:val="24"/>
        </w:rPr>
        <w:t>银华基金管理股份有限公司关于调整银华内需精选混合型证券投资基金（</w:t>
      </w:r>
      <w:r>
        <w:rPr>
          <w:rFonts w:ascii="宋体" w:hAnsi="宋体" w:cs="宋体" w:hint="eastAsia"/>
          <w:b/>
          <w:color w:val="000000"/>
          <w:kern w:val="0"/>
          <w:sz w:val="24"/>
        </w:rPr>
        <w:t>LOF</w:t>
      </w:r>
      <w:r>
        <w:rPr>
          <w:rFonts w:ascii="宋体" w:hAnsi="宋体" w:cs="宋体" w:hint="eastAsia"/>
          <w:b/>
          <w:color w:val="000000"/>
          <w:kern w:val="0"/>
          <w:sz w:val="24"/>
        </w:rPr>
        <w:t>）每笔赎回申请的最低份额及赎回后的最低保有份额的公告</w:t>
      </w:r>
    </w:p>
    <w:p w:rsidR="001962CA" w:rsidRDefault="00E43AA4">
      <w:pPr>
        <w:autoSpaceDE w:val="0"/>
        <w:autoSpaceDN w:val="0"/>
        <w:adjustRightInd w:val="0"/>
        <w:spacing w:line="480" w:lineRule="exact"/>
        <w:ind w:firstLineChars="200" w:firstLine="420"/>
        <w:rPr>
          <w:rFonts w:ascii="宋体" w:hAnsi="宋体" w:cs="宋体"/>
          <w:color w:val="000000"/>
          <w:kern w:val="0"/>
          <w:szCs w:val="21"/>
        </w:rPr>
      </w:pPr>
      <w:r>
        <w:rPr>
          <w:rFonts w:ascii="宋体" w:hAnsi="宋体" w:cs="宋体" w:hint="eastAsia"/>
          <w:color w:val="000000"/>
          <w:kern w:val="0"/>
          <w:szCs w:val="21"/>
        </w:rPr>
        <w:t>为满足广大投资者的理财需求，银华基金管理股份有限公司（以下简称“本公司”）决定自</w:t>
      </w:r>
      <w:r>
        <w:rPr>
          <w:rFonts w:ascii="宋体" w:hAnsi="宋体" w:cs="宋体"/>
          <w:color w:val="000000"/>
          <w:kern w:val="0"/>
          <w:szCs w:val="21"/>
        </w:rPr>
        <w:t>20</w:t>
      </w:r>
      <w:r>
        <w:rPr>
          <w:rFonts w:ascii="宋体" w:hAnsi="宋体" w:cs="宋体" w:hint="eastAsia"/>
          <w:color w:val="000000"/>
          <w:kern w:val="0"/>
          <w:szCs w:val="21"/>
        </w:rPr>
        <w:t>2</w:t>
      </w:r>
      <w:r>
        <w:rPr>
          <w:rFonts w:ascii="宋体" w:hAnsi="宋体" w:cs="宋体" w:hint="eastAsia"/>
          <w:color w:val="000000"/>
          <w:kern w:val="0"/>
          <w:szCs w:val="21"/>
        </w:rPr>
        <w:t>5</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kern w:val="0"/>
          <w:szCs w:val="21"/>
        </w:rPr>
        <w:t>22</w:t>
      </w:r>
      <w:r>
        <w:rPr>
          <w:rFonts w:ascii="宋体" w:hAnsi="宋体" w:cs="宋体" w:hint="eastAsia"/>
          <w:color w:val="000000"/>
          <w:kern w:val="0"/>
          <w:szCs w:val="21"/>
        </w:rPr>
        <w:t>日起，调整本公司旗下</w:t>
      </w:r>
      <w:r>
        <w:rPr>
          <w:rFonts w:ascii="宋体" w:hAnsi="宋体" w:cs="宋体" w:hint="eastAsia"/>
          <w:color w:val="000000"/>
          <w:kern w:val="0"/>
          <w:szCs w:val="21"/>
        </w:rPr>
        <w:t>银华内需精选混合型证券投资基金（</w:t>
      </w:r>
      <w:r>
        <w:rPr>
          <w:rFonts w:ascii="宋体" w:hAnsi="宋体" w:cs="宋体" w:hint="eastAsia"/>
          <w:color w:val="000000"/>
          <w:kern w:val="0"/>
          <w:szCs w:val="21"/>
        </w:rPr>
        <w:t>LOF</w:t>
      </w:r>
      <w:r>
        <w:rPr>
          <w:rFonts w:ascii="宋体" w:hAnsi="宋体" w:cs="宋体" w:hint="eastAsia"/>
          <w:color w:val="000000"/>
          <w:kern w:val="0"/>
          <w:szCs w:val="21"/>
        </w:rPr>
        <w:t>）</w:t>
      </w:r>
      <w:r>
        <w:rPr>
          <w:rFonts w:ascii="宋体" w:hAnsi="宋体" w:cs="宋体" w:hint="eastAsia"/>
          <w:kern w:val="0"/>
          <w:szCs w:val="21"/>
        </w:rPr>
        <w:t>每笔赎回申请的最低份额及赎回后的最低保有份额</w:t>
      </w:r>
      <w:r>
        <w:rPr>
          <w:rFonts w:ascii="宋体" w:hAnsi="宋体" w:cs="宋体" w:hint="eastAsia"/>
          <w:color w:val="000000"/>
          <w:kern w:val="0"/>
          <w:szCs w:val="21"/>
        </w:rPr>
        <w:t>。现将相关事项公告如下：</w:t>
      </w:r>
      <w:r>
        <w:rPr>
          <w:rFonts w:ascii="宋体" w:hAnsi="宋体" w:cs="宋体"/>
          <w:color w:val="000000"/>
          <w:kern w:val="0"/>
          <w:szCs w:val="21"/>
        </w:rPr>
        <w:t xml:space="preserve"> </w:t>
      </w:r>
    </w:p>
    <w:p w:rsidR="001962CA" w:rsidRDefault="001962CA">
      <w:pPr>
        <w:autoSpaceDE w:val="0"/>
        <w:autoSpaceDN w:val="0"/>
        <w:adjustRightInd w:val="0"/>
        <w:spacing w:line="480" w:lineRule="exact"/>
        <w:rPr>
          <w:rFonts w:ascii="宋体" w:hAnsi="宋体" w:cs="宋体"/>
          <w:color w:val="000000"/>
          <w:kern w:val="0"/>
          <w:szCs w:val="21"/>
        </w:rPr>
      </w:pPr>
    </w:p>
    <w:p w:rsidR="001962CA" w:rsidRDefault="00E43AA4">
      <w:pPr>
        <w:numPr>
          <w:ilvl w:val="0"/>
          <w:numId w:val="1"/>
        </w:numPr>
        <w:autoSpaceDE w:val="0"/>
        <w:autoSpaceDN w:val="0"/>
        <w:adjustRightInd w:val="0"/>
        <w:spacing w:line="480" w:lineRule="exact"/>
        <w:rPr>
          <w:rFonts w:ascii="宋体" w:hAnsi="宋体" w:cs="宋体"/>
          <w:b/>
          <w:bCs/>
          <w:color w:val="000000"/>
          <w:kern w:val="0"/>
          <w:szCs w:val="21"/>
        </w:rPr>
      </w:pPr>
      <w:r>
        <w:rPr>
          <w:rFonts w:ascii="宋体" w:hAnsi="宋体" w:cs="宋体" w:hint="eastAsia"/>
          <w:b/>
          <w:bCs/>
          <w:color w:val="000000"/>
          <w:kern w:val="0"/>
          <w:szCs w:val="21"/>
        </w:rPr>
        <w:t>适用基金</w:t>
      </w: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95"/>
        <w:gridCol w:w="2905"/>
        <w:gridCol w:w="2070"/>
        <w:gridCol w:w="1985"/>
      </w:tblGrid>
      <w:tr w:rsidR="001962CA">
        <w:trPr>
          <w:trHeight w:val="574"/>
          <w:jc w:val="center"/>
        </w:trPr>
        <w:tc>
          <w:tcPr>
            <w:tcW w:w="1295" w:type="dxa"/>
            <w:vAlign w:val="center"/>
          </w:tcPr>
          <w:p w:rsidR="001962CA" w:rsidRDefault="00E43AA4">
            <w:pPr>
              <w:pStyle w:val="TableParagraph"/>
              <w:spacing w:before="134"/>
              <w:ind w:right="176"/>
              <w:rPr>
                <w:rFonts w:ascii="宋体" w:hAnsi="宋体"/>
                <w:b/>
                <w:szCs w:val="21"/>
              </w:rPr>
            </w:pPr>
            <w:r>
              <w:rPr>
                <w:rFonts w:ascii="宋体" w:hAnsi="宋体"/>
                <w:b/>
                <w:szCs w:val="21"/>
              </w:rPr>
              <w:t>基金代码</w:t>
            </w:r>
          </w:p>
        </w:tc>
        <w:tc>
          <w:tcPr>
            <w:tcW w:w="2905" w:type="dxa"/>
            <w:vAlign w:val="center"/>
          </w:tcPr>
          <w:p w:rsidR="001962CA" w:rsidRDefault="00E43AA4">
            <w:pPr>
              <w:pStyle w:val="TableParagraph"/>
              <w:spacing w:before="134"/>
              <w:ind w:right="257"/>
              <w:rPr>
                <w:rFonts w:ascii="宋体" w:hAnsi="宋体"/>
                <w:b/>
                <w:szCs w:val="21"/>
              </w:rPr>
            </w:pPr>
            <w:r>
              <w:rPr>
                <w:rFonts w:ascii="宋体" w:hAnsi="宋体"/>
                <w:b/>
                <w:szCs w:val="21"/>
              </w:rPr>
              <w:t>基金名称</w:t>
            </w:r>
          </w:p>
        </w:tc>
        <w:tc>
          <w:tcPr>
            <w:tcW w:w="2070" w:type="dxa"/>
            <w:vAlign w:val="center"/>
          </w:tcPr>
          <w:p w:rsidR="001962CA" w:rsidRDefault="00E43AA4">
            <w:pPr>
              <w:pStyle w:val="TableParagraph"/>
              <w:rPr>
                <w:rFonts w:ascii="宋体" w:hAnsi="宋体" w:cs="宋体"/>
                <w:b/>
                <w:color w:val="000000"/>
                <w:kern w:val="0"/>
                <w:szCs w:val="21"/>
                <w:lang w:bidi="zh-CN"/>
              </w:rPr>
            </w:pPr>
            <w:r>
              <w:rPr>
                <w:rFonts w:ascii="宋体" w:hAnsi="宋体" w:cs="宋体" w:hint="eastAsia"/>
                <w:b/>
                <w:color w:val="000000"/>
                <w:kern w:val="0"/>
                <w:szCs w:val="21"/>
              </w:rPr>
              <w:t>每笔赎回申请的最低份额（份）</w:t>
            </w:r>
          </w:p>
        </w:tc>
        <w:tc>
          <w:tcPr>
            <w:tcW w:w="1985" w:type="dxa"/>
            <w:vAlign w:val="center"/>
          </w:tcPr>
          <w:p w:rsidR="001962CA" w:rsidRDefault="00E43AA4">
            <w:pPr>
              <w:pStyle w:val="TableParagraph"/>
              <w:rPr>
                <w:rFonts w:ascii="宋体" w:hAnsi="宋体" w:cs="宋体"/>
                <w:b/>
                <w:color w:val="000000"/>
                <w:kern w:val="0"/>
                <w:szCs w:val="21"/>
              </w:rPr>
            </w:pPr>
            <w:r>
              <w:rPr>
                <w:rFonts w:ascii="宋体" w:hAnsi="宋体" w:cs="宋体" w:hint="eastAsia"/>
                <w:b/>
                <w:color w:val="000000"/>
                <w:kern w:val="0"/>
                <w:szCs w:val="21"/>
              </w:rPr>
              <w:t>赎回后的最低保有份额（份）</w:t>
            </w:r>
          </w:p>
        </w:tc>
      </w:tr>
      <w:tr w:rsidR="001962CA">
        <w:trPr>
          <w:trHeight w:val="958"/>
          <w:jc w:val="center"/>
        </w:trPr>
        <w:tc>
          <w:tcPr>
            <w:tcW w:w="1295" w:type="dxa"/>
            <w:vAlign w:val="center"/>
          </w:tcPr>
          <w:p w:rsidR="001962CA" w:rsidRDefault="00E43AA4">
            <w:pPr>
              <w:jc w:val="center"/>
              <w:rPr>
                <w:rFonts w:ascii="宋体" w:hAnsi="宋体"/>
                <w:szCs w:val="21"/>
              </w:rPr>
            </w:pPr>
            <w:r>
              <w:rPr>
                <w:rFonts w:ascii="宋体" w:hAnsi="宋体" w:cs="宋体" w:hint="eastAsia"/>
                <w:color w:val="000000"/>
                <w:kern w:val="0"/>
                <w:szCs w:val="21"/>
              </w:rPr>
              <w:t>161810</w:t>
            </w:r>
          </w:p>
        </w:tc>
        <w:tc>
          <w:tcPr>
            <w:tcW w:w="2905" w:type="dxa"/>
            <w:vAlign w:val="center"/>
          </w:tcPr>
          <w:p w:rsidR="001962CA" w:rsidRDefault="00E43AA4">
            <w:pPr>
              <w:pStyle w:val="TableParagraph"/>
              <w:spacing w:before="22"/>
              <w:ind w:right="259"/>
              <w:rPr>
                <w:rFonts w:ascii="宋体" w:hAnsi="宋体"/>
                <w:szCs w:val="21"/>
              </w:rPr>
            </w:pPr>
            <w:r>
              <w:rPr>
                <w:rFonts w:ascii="宋体" w:hAnsi="宋体" w:cs="宋体" w:hint="eastAsia"/>
                <w:color w:val="000000"/>
                <w:kern w:val="0"/>
                <w:szCs w:val="21"/>
              </w:rPr>
              <w:t>银华内需精选混合型证券投资基金（</w:t>
            </w:r>
            <w:r>
              <w:rPr>
                <w:rFonts w:ascii="宋体" w:hAnsi="宋体" w:cs="宋体" w:hint="eastAsia"/>
                <w:color w:val="000000"/>
                <w:kern w:val="0"/>
                <w:szCs w:val="21"/>
              </w:rPr>
              <w:t>LOF</w:t>
            </w:r>
            <w:r>
              <w:rPr>
                <w:rFonts w:ascii="宋体" w:hAnsi="宋体" w:cs="宋体" w:hint="eastAsia"/>
                <w:color w:val="000000"/>
                <w:kern w:val="0"/>
                <w:szCs w:val="21"/>
              </w:rPr>
              <w:t>）</w:t>
            </w:r>
          </w:p>
        </w:tc>
        <w:tc>
          <w:tcPr>
            <w:tcW w:w="2070" w:type="dxa"/>
            <w:vAlign w:val="center"/>
          </w:tcPr>
          <w:p w:rsidR="001962CA" w:rsidRDefault="00E43AA4">
            <w:pPr>
              <w:pStyle w:val="TableParagraph"/>
              <w:ind w:right="432"/>
              <w:rPr>
                <w:rFonts w:ascii="宋体" w:hAnsi="宋体"/>
                <w:szCs w:val="21"/>
              </w:rPr>
            </w:pPr>
            <w:r>
              <w:rPr>
                <w:rFonts w:ascii="宋体" w:hAnsi="宋体" w:hint="eastAsia"/>
                <w:szCs w:val="21"/>
              </w:rPr>
              <w:t>1</w:t>
            </w:r>
          </w:p>
        </w:tc>
        <w:tc>
          <w:tcPr>
            <w:tcW w:w="1985" w:type="dxa"/>
            <w:vAlign w:val="center"/>
          </w:tcPr>
          <w:p w:rsidR="001962CA" w:rsidRDefault="00E43AA4">
            <w:pPr>
              <w:pStyle w:val="TableParagraph"/>
              <w:ind w:right="432"/>
              <w:rPr>
                <w:rFonts w:ascii="宋体" w:hAnsi="宋体"/>
                <w:szCs w:val="21"/>
              </w:rPr>
            </w:pPr>
            <w:r>
              <w:rPr>
                <w:rFonts w:ascii="宋体" w:hAnsi="宋体" w:hint="eastAsia"/>
                <w:szCs w:val="21"/>
              </w:rPr>
              <w:t>1</w:t>
            </w:r>
          </w:p>
        </w:tc>
      </w:tr>
    </w:tbl>
    <w:p w:rsidR="001962CA" w:rsidRDefault="001962CA">
      <w:pPr>
        <w:autoSpaceDE w:val="0"/>
        <w:autoSpaceDN w:val="0"/>
        <w:adjustRightInd w:val="0"/>
        <w:spacing w:line="480" w:lineRule="exact"/>
        <w:rPr>
          <w:rFonts w:ascii="宋体" w:hAnsi="宋体" w:cs="宋体"/>
          <w:b/>
          <w:bCs/>
          <w:color w:val="000000"/>
          <w:kern w:val="0"/>
          <w:szCs w:val="21"/>
        </w:rPr>
      </w:pPr>
    </w:p>
    <w:p w:rsidR="001962CA" w:rsidRDefault="00E43AA4">
      <w:pPr>
        <w:autoSpaceDE w:val="0"/>
        <w:autoSpaceDN w:val="0"/>
        <w:adjustRightInd w:val="0"/>
        <w:spacing w:line="480" w:lineRule="exact"/>
        <w:rPr>
          <w:rFonts w:ascii="宋体" w:hAnsi="宋体" w:cs="宋体"/>
          <w:b/>
          <w:bCs/>
          <w:color w:val="000000"/>
          <w:kern w:val="0"/>
          <w:szCs w:val="21"/>
        </w:rPr>
      </w:pPr>
      <w:r>
        <w:rPr>
          <w:rFonts w:ascii="宋体" w:hAnsi="宋体" w:cs="宋体" w:hint="eastAsia"/>
          <w:b/>
          <w:bCs/>
          <w:color w:val="000000"/>
          <w:kern w:val="0"/>
          <w:szCs w:val="21"/>
        </w:rPr>
        <w:t xml:space="preserve"> </w:t>
      </w:r>
      <w:r>
        <w:rPr>
          <w:rFonts w:ascii="宋体" w:hAnsi="宋体" w:cs="宋体" w:hint="eastAsia"/>
          <w:b/>
          <w:bCs/>
          <w:color w:val="000000"/>
          <w:kern w:val="0"/>
          <w:szCs w:val="21"/>
        </w:rPr>
        <w:t>二、其他需要注意的事项</w:t>
      </w:r>
    </w:p>
    <w:p w:rsidR="001962CA" w:rsidRDefault="00E43AA4">
      <w:pPr>
        <w:autoSpaceDE w:val="0"/>
        <w:autoSpaceDN w:val="0"/>
        <w:adjustRightInd w:val="0"/>
        <w:spacing w:line="480" w:lineRule="exact"/>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上述基金代理销售机构对每笔赎回申请的最低份额及赎回后的最低保有份额有不同规定的，投资者在该代理销售机构办理上述业务时，需同时遵循代理销售机构的相关业务规定。本公司直销中心对每笔赎回申请的最低份额及赎回后的最低保有份额有不同规定的，投资者在本公司直销中心办理上述业务时，需同时遵循</w:t>
      </w:r>
      <w:bookmarkStart w:id="0" w:name="_GoBack"/>
      <w:bookmarkEnd w:id="0"/>
      <w:r>
        <w:rPr>
          <w:rFonts w:ascii="宋体" w:hAnsi="宋体" w:cs="宋体" w:hint="eastAsia"/>
          <w:kern w:val="0"/>
          <w:szCs w:val="21"/>
        </w:rPr>
        <w:t>本公司直销中心的相关业务规定。</w:t>
      </w:r>
    </w:p>
    <w:p w:rsidR="001962CA" w:rsidRDefault="00E43AA4">
      <w:pPr>
        <w:autoSpaceDE w:val="0"/>
        <w:autoSpaceDN w:val="0"/>
        <w:adjustRightInd w:val="0"/>
        <w:spacing w:line="480" w:lineRule="exact"/>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上述基金代理销售机构设置的每笔赎回申请的最低份额及赎回后的最低保有份额不得低于本公司设定的上述每笔赎回申请的最低份额及赎回后的最低保有份额，但可以等于或高于该每笔赎回申请的最低份额及赎回后的最低保有份额。</w:t>
      </w:r>
      <w:r>
        <w:rPr>
          <w:rFonts w:ascii="宋体" w:hAnsi="宋体" w:cs="宋体" w:hint="eastAsia"/>
          <w:kern w:val="0"/>
          <w:szCs w:val="21"/>
        </w:rPr>
        <w:t xml:space="preserve"> </w:t>
      </w:r>
    </w:p>
    <w:p w:rsidR="001962CA" w:rsidRDefault="00E43AA4">
      <w:pPr>
        <w:autoSpaceDE w:val="0"/>
        <w:autoSpaceDN w:val="0"/>
        <w:adjustRightInd w:val="0"/>
        <w:spacing w:line="480" w:lineRule="exact"/>
        <w:ind w:firstLineChars="200" w:firstLine="420"/>
        <w:rPr>
          <w:rFonts w:ascii="宋体" w:hAnsi="宋体" w:cs="宋体"/>
          <w:kern w:val="0"/>
          <w:szCs w:val="21"/>
        </w:rPr>
      </w:pPr>
      <w:r>
        <w:rPr>
          <w:rFonts w:ascii="宋体" w:hAnsi="宋体" w:cs="宋体"/>
          <w:kern w:val="0"/>
          <w:szCs w:val="21"/>
        </w:rPr>
        <w:t>3</w:t>
      </w:r>
      <w:r>
        <w:rPr>
          <w:rFonts w:ascii="宋体" w:hAnsi="宋体" w:cs="宋体" w:hint="eastAsia"/>
          <w:kern w:val="0"/>
          <w:szCs w:val="21"/>
        </w:rPr>
        <w:t>、本次调整仅对上述基金的每笔赎回申请的最低份额及赎回后的最低保有份额进行调整。</w:t>
      </w:r>
    </w:p>
    <w:p w:rsidR="001962CA" w:rsidRDefault="00E43AA4">
      <w:pPr>
        <w:autoSpaceDE w:val="0"/>
        <w:autoSpaceDN w:val="0"/>
        <w:adjustRightInd w:val="0"/>
        <w:spacing w:line="480" w:lineRule="exact"/>
        <w:ind w:firstLineChars="200" w:firstLine="420"/>
        <w:rPr>
          <w:rFonts w:ascii="宋体" w:hAnsi="宋体"/>
          <w:szCs w:val="21"/>
        </w:rPr>
      </w:pPr>
      <w:r>
        <w:rPr>
          <w:rFonts w:ascii="宋体" w:hAnsi="宋体" w:cs="宋体" w:hint="eastAsia"/>
          <w:kern w:val="0"/>
          <w:szCs w:val="21"/>
        </w:rPr>
        <w:t>4</w:t>
      </w:r>
      <w:r>
        <w:rPr>
          <w:rFonts w:ascii="宋体" w:hAnsi="宋体" w:cs="宋体" w:hint="eastAsia"/>
          <w:kern w:val="0"/>
          <w:szCs w:val="21"/>
        </w:rPr>
        <w:t>、</w:t>
      </w:r>
      <w:r>
        <w:rPr>
          <w:rFonts w:ascii="宋体" w:hAnsi="宋体" w:hint="eastAsia"/>
          <w:szCs w:val="21"/>
        </w:rPr>
        <w:t>投资者可以通过以下途径咨询有关详情：</w:t>
      </w:r>
    </w:p>
    <w:p w:rsidR="001962CA" w:rsidRDefault="00E43AA4">
      <w:pPr>
        <w:spacing w:line="360" w:lineRule="auto"/>
        <w:ind w:firstLineChars="200" w:firstLine="420"/>
        <w:jc w:val="left"/>
        <w:rPr>
          <w:rFonts w:ascii="宋体" w:hAnsi="宋体"/>
          <w:szCs w:val="21"/>
        </w:rPr>
      </w:pPr>
      <w:r>
        <w:rPr>
          <w:rFonts w:ascii="宋体" w:hAnsi="宋体" w:hint="eastAsia"/>
          <w:szCs w:val="21"/>
        </w:rPr>
        <w:t>银华基金管理股份有限公司</w:t>
      </w:r>
    </w:p>
    <w:p w:rsidR="001962CA" w:rsidRDefault="00E43AA4">
      <w:pPr>
        <w:spacing w:line="360" w:lineRule="auto"/>
        <w:ind w:firstLineChars="200" w:firstLine="420"/>
        <w:jc w:val="left"/>
        <w:rPr>
          <w:rFonts w:ascii="宋体" w:hAnsi="宋体"/>
          <w:szCs w:val="21"/>
        </w:rPr>
      </w:pPr>
      <w:r>
        <w:rPr>
          <w:rFonts w:ascii="宋体" w:hAnsi="宋体" w:hint="eastAsia"/>
          <w:szCs w:val="21"/>
        </w:rPr>
        <w:t>客户服务电话：</w:t>
      </w:r>
      <w:r>
        <w:rPr>
          <w:rFonts w:ascii="宋体" w:hAnsi="宋体" w:hint="eastAsia"/>
          <w:szCs w:val="21"/>
        </w:rPr>
        <w:t>400-678-3333</w:t>
      </w:r>
      <w:r>
        <w:rPr>
          <w:rFonts w:ascii="宋体" w:hAnsi="宋体" w:hint="eastAsia"/>
          <w:szCs w:val="21"/>
        </w:rPr>
        <w:t>、</w:t>
      </w:r>
      <w:r>
        <w:rPr>
          <w:rFonts w:ascii="宋体" w:hAnsi="宋体" w:hint="eastAsia"/>
          <w:szCs w:val="21"/>
        </w:rPr>
        <w:t>010-85186558</w:t>
      </w:r>
    </w:p>
    <w:p w:rsidR="001962CA" w:rsidRDefault="00E43AA4">
      <w:pPr>
        <w:spacing w:line="360" w:lineRule="auto"/>
        <w:ind w:firstLineChars="200" w:firstLine="420"/>
        <w:jc w:val="left"/>
        <w:rPr>
          <w:rFonts w:ascii="宋体" w:hAnsi="宋体"/>
          <w:szCs w:val="21"/>
        </w:rPr>
      </w:pPr>
      <w:r>
        <w:rPr>
          <w:rFonts w:ascii="宋体" w:hAnsi="宋体" w:hint="eastAsia"/>
          <w:szCs w:val="21"/>
        </w:rPr>
        <w:t>网址：</w:t>
      </w:r>
      <w:r>
        <w:rPr>
          <w:rFonts w:ascii="宋体" w:hAnsi="宋体" w:hint="eastAsia"/>
          <w:szCs w:val="21"/>
        </w:rPr>
        <w:t>www.yhfund.com.cn</w:t>
      </w:r>
    </w:p>
    <w:p w:rsidR="001962CA" w:rsidRDefault="001962CA">
      <w:pPr>
        <w:spacing w:line="360" w:lineRule="auto"/>
        <w:ind w:firstLineChars="200" w:firstLine="420"/>
        <w:jc w:val="left"/>
        <w:rPr>
          <w:rFonts w:ascii="宋体" w:hAnsi="宋体"/>
          <w:szCs w:val="21"/>
        </w:rPr>
      </w:pPr>
    </w:p>
    <w:p w:rsidR="001962CA" w:rsidRDefault="00E43AA4">
      <w:pPr>
        <w:spacing w:line="360" w:lineRule="auto"/>
        <w:ind w:firstLineChars="200" w:firstLine="420"/>
        <w:jc w:val="left"/>
        <w:rPr>
          <w:rFonts w:ascii="宋体" w:hAnsi="宋体"/>
          <w:szCs w:val="21"/>
        </w:rPr>
      </w:pPr>
      <w:r>
        <w:rPr>
          <w:rFonts w:ascii="宋体" w:hAnsi="宋体" w:hint="eastAsia"/>
          <w:szCs w:val="21"/>
        </w:rPr>
        <w:t>风险提示：</w:t>
      </w:r>
    </w:p>
    <w:p w:rsidR="001962CA" w:rsidRDefault="00E43AA4">
      <w:pPr>
        <w:spacing w:line="360" w:lineRule="auto"/>
        <w:ind w:firstLineChars="200" w:firstLine="420"/>
        <w:jc w:val="left"/>
        <w:rPr>
          <w:rFonts w:ascii="宋体" w:hAnsi="宋体"/>
          <w:szCs w:val="21"/>
        </w:rPr>
      </w:pPr>
      <w:r>
        <w:rPr>
          <w:rFonts w:ascii="宋体" w:hAnsi="宋体" w:hint="eastAsia"/>
          <w:szCs w:val="21"/>
        </w:rPr>
        <w:t>本公司承诺以诚实信用、勤勉尽责的原则管理和运用基金资产，但不保证基金一定盈利，</w:t>
      </w:r>
      <w:r>
        <w:rPr>
          <w:rFonts w:ascii="宋体" w:hAnsi="宋体" w:hint="eastAsia"/>
          <w:szCs w:val="21"/>
        </w:rPr>
        <w:lastRenderedPageBreak/>
        <w:t>也不保证最低收益。敬请投资者留意投资风险。</w:t>
      </w:r>
    </w:p>
    <w:p w:rsidR="001962CA" w:rsidRDefault="001962CA">
      <w:pPr>
        <w:spacing w:line="360" w:lineRule="auto"/>
        <w:ind w:firstLineChars="200" w:firstLine="420"/>
        <w:jc w:val="left"/>
        <w:rPr>
          <w:rFonts w:ascii="宋体" w:hAnsi="宋体"/>
          <w:szCs w:val="21"/>
        </w:rPr>
      </w:pPr>
    </w:p>
    <w:p w:rsidR="001962CA" w:rsidRDefault="00E43AA4">
      <w:pPr>
        <w:spacing w:line="360" w:lineRule="auto"/>
        <w:ind w:firstLineChars="200" w:firstLine="420"/>
        <w:jc w:val="left"/>
        <w:rPr>
          <w:rFonts w:ascii="宋体" w:hAnsi="宋体"/>
          <w:szCs w:val="21"/>
        </w:rPr>
      </w:pPr>
      <w:r>
        <w:rPr>
          <w:rFonts w:ascii="宋体" w:hAnsi="宋体" w:hint="eastAsia"/>
          <w:szCs w:val="21"/>
        </w:rPr>
        <w:t>本公告解释权归本公司。</w:t>
      </w:r>
    </w:p>
    <w:p w:rsidR="001962CA" w:rsidRDefault="00E43AA4">
      <w:pPr>
        <w:spacing w:line="360" w:lineRule="auto"/>
        <w:ind w:firstLineChars="200" w:firstLine="420"/>
        <w:jc w:val="left"/>
        <w:rPr>
          <w:rFonts w:ascii="宋体" w:hAnsi="宋体"/>
          <w:szCs w:val="21"/>
        </w:rPr>
      </w:pPr>
      <w:r>
        <w:rPr>
          <w:rFonts w:ascii="宋体" w:hAnsi="宋体" w:hint="eastAsia"/>
          <w:szCs w:val="21"/>
        </w:rPr>
        <w:t>特此公告。</w:t>
      </w:r>
    </w:p>
    <w:p w:rsidR="001962CA" w:rsidRDefault="001962CA">
      <w:pPr>
        <w:autoSpaceDE w:val="0"/>
        <w:autoSpaceDN w:val="0"/>
        <w:adjustRightInd w:val="0"/>
        <w:spacing w:line="480" w:lineRule="exact"/>
        <w:rPr>
          <w:rFonts w:ascii="宋体" w:hAnsi="宋体" w:cs="宋体"/>
          <w:color w:val="000000"/>
          <w:kern w:val="0"/>
          <w:sz w:val="24"/>
        </w:rPr>
      </w:pPr>
    </w:p>
    <w:p w:rsidR="001962CA" w:rsidRDefault="00E43AA4">
      <w:pPr>
        <w:spacing w:line="480" w:lineRule="exact"/>
        <w:ind w:firstLineChars="200" w:firstLine="420"/>
        <w:jc w:val="right"/>
        <w:rPr>
          <w:rFonts w:ascii="宋体" w:hAnsi="宋体" w:cs="宋体"/>
          <w:color w:val="000000"/>
          <w:kern w:val="0"/>
          <w:szCs w:val="21"/>
        </w:rPr>
      </w:pPr>
      <w:r>
        <w:rPr>
          <w:rFonts w:ascii="宋体" w:hAnsi="宋体" w:cs="宋体" w:hint="eastAsia"/>
          <w:color w:val="000000"/>
          <w:kern w:val="0"/>
          <w:szCs w:val="21"/>
        </w:rPr>
        <w:t>银华基金管理股份有限公司</w:t>
      </w:r>
    </w:p>
    <w:p w:rsidR="001962CA" w:rsidRDefault="00E43AA4">
      <w:pPr>
        <w:spacing w:line="480" w:lineRule="exact"/>
        <w:ind w:firstLineChars="200" w:firstLine="420"/>
        <w:jc w:val="right"/>
        <w:rPr>
          <w:rFonts w:ascii="宋体" w:hAnsi="宋体"/>
          <w:szCs w:val="21"/>
        </w:rPr>
      </w:pPr>
      <w:r>
        <w:rPr>
          <w:rFonts w:ascii="宋体" w:hAnsi="宋体" w:cs="宋体"/>
          <w:color w:val="000000"/>
          <w:kern w:val="0"/>
          <w:szCs w:val="21"/>
        </w:rPr>
        <w:t>20</w:t>
      </w:r>
      <w:r>
        <w:rPr>
          <w:rFonts w:ascii="宋体" w:hAnsi="宋体" w:cs="宋体" w:hint="eastAsia"/>
          <w:color w:val="000000"/>
          <w:kern w:val="0"/>
          <w:szCs w:val="21"/>
        </w:rPr>
        <w:t>2</w:t>
      </w:r>
      <w:r>
        <w:rPr>
          <w:rFonts w:ascii="宋体" w:hAnsi="宋体" w:cs="宋体" w:hint="eastAsia"/>
          <w:color w:val="000000"/>
          <w:kern w:val="0"/>
          <w:szCs w:val="21"/>
        </w:rPr>
        <w:t>5</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kern w:val="0"/>
          <w:szCs w:val="21"/>
        </w:rPr>
        <w:t>19</w:t>
      </w:r>
      <w:r>
        <w:rPr>
          <w:rFonts w:ascii="宋体" w:hAnsi="宋体" w:cs="宋体" w:hint="eastAsia"/>
          <w:color w:val="000000"/>
          <w:kern w:val="0"/>
          <w:szCs w:val="21"/>
        </w:rPr>
        <w:t>日</w:t>
      </w:r>
    </w:p>
    <w:p w:rsidR="001962CA" w:rsidRDefault="001962CA">
      <w:pPr>
        <w:tabs>
          <w:tab w:val="left" w:pos="795"/>
        </w:tabs>
      </w:pPr>
    </w:p>
    <w:sectPr w:rsidR="001962CA" w:rsidSect="001962C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2CA" w:rsidRDefault="001962CA" w:rsidP="001962CA">
      <w:r>
        <w:separator/>
      </w:r>
    </w:p>
  </w:endnote>
  <w:endnote w:type="continuationSeparator" w:id="0">
    <w:p w:rsidR="001962CA" w:rsidRDefault="001962CA" w:rsidP="00196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53907"/>
    </w:sdtPr>
    <w:sdtContent>
      <w:p w:rsidR="001962CA" w:rsidRDefault="001962CA">
        <w:pPr>
          <w:pStyle w:val="a3"/>
          <w:jc w:val="center"/>
        </w:pPr>
        <w:r>
          <w:fldChar w:fldCharType="begin"/>
        </w:r>
        <w:r w:rsidR="00E43AA4">
          <w:instrText>PAGE   \* MERGEFORMAT</w:instrText>
        </w:r>
        <w:r>
          <w:fldChar w:fldCharType="separate"/>
        </w:r>
        <w:r w:rsidR="00E43AA4" w:rsidRPr="00E43AA4">
          <w:rPr>
            <w:noProof/>
            <w:lang w:val="zh-CN"/>
          </w:rPr>
          <w:t>1</w:t>
        </w:r>
        <w:r>
          <w:fldChar w:fldCharType="end"/>
        </w:r>
      </w:p>
    </w:sdtContent>
  </w:sdt>
  <w:p w:rsidR="001962CA" w:rsidRDefault="001962C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2CA" w:rsidRDefault="001962CA" w:rsidP="001962CA">
      <w:r>
        <w:separator/>
      </w:r>
    </w:p>
  </w:footnote>
  <w:footnote w:type="continuationSeparator" w:id="0">
    <w:p w:rsidR="001962CA" w:rsidRDefault="001962CA" w:rsidP="00196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CA" w:rsidRDefault="00E43AA4">
    <w:pPr>
      <w:pBdr>
        <w:bottom w:val="single" w:sz="4" w:space="1" w:color="auto"/>
      </w:pBdr>
      <w:tabs>
        <w:tab w:val="left" w:pos="2175"/>
      </w:tabs>
      <w:spacing w:line="264" w:lineRule="auto"/>
      <w:rPr>
        <w:u w:val="single"/>
      </w:rPr>
    </w:pPr>
    <w:r>
      <w:rPr>
        <w:noProof/>
      </w:rPr>
      <w:drawing>
        <wp:inline distT="0" distB="0" distL="0" distR="0">
          <wp:extent cx="2238375" cy="485775"/>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38375" cy="485775"/>
                  </a:xfrm>
                  <a:prstGeom prst="rect">
                    <a:avLst/>
                  </a:prstGeom>
                  <a:noFill/>
                  <a:ln>
                    <a:noFill/>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F79A00"/>
    <w:multiLevelType w:val="singleLevel"/>
    <w:tmpl w:val="A5F79A00"/>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87BBC"/>
    <w:rsid w:val="00093B3C"/>
    <w:rsid w:val="000B3731"/>
    <w:rsid w:val="000E4F66"/>
    <w:rsid w:val="00160CC8"/>
    <w:rsid w:val="001962CA"/>
    <w:rsid w:val="001B3B5F"/>
    <w:rsid w:val="001D18A8"/>
    <w:rsid w:val="00200DAF"/>
    <w:rsid w:val="002E21A7"/>
    <w:rsid w:val="00342062"/>
    <w:rsid w:val="003A7083"/>
    <w:rsid w:val="003C1919"/>
    <w:rsid w:val="003D1DE5"/>
    <w:rsid w:val="003D6A14"/>
    <w:rsid w:val="0041163C"/>
    <w:rsid w:val="00413A60"/>
    <w:rsid w:val="004B6FCF"/>
    <w:rsid w:val="00533A56"/>
    <w:rsid w:val="005510F9"/>
    <w:rsid w:val="0066099E"/>
    <w:rsid w:val="006858C8"/>
    <w:rsid w:val="00686B79"/>
    <w:rsid w:val="006D0C4A"/>
    <w:rsid w:val="007407DC"/>
    <w:rsid w:val="00783BDF"/>
    <w:rsid w:val="007E08C3"/>
    <w:rsid w:val="0081595C"/>
    <w:rsid w:val="00820E3E"/>
    <w:rsid w:val="008B1A83"/>
    <w:rsid w:val="00982BD7"/>
    <w:rsid w:val="009A1E57"/>
    <w:rsid w:val="009B5969"/>
    <w:rsid w:val="009C1364"/>
    <w:rsid w:val="009D20D4"/>
    <w:rsid w:val="009F5A07"/>
    <w:rsid w:val="00A14C5E"/>
    <w:rsid w:val="00A77850"/>
    <w:rsid w:val="00AB4EE5"/>
    <w:rsid w:val="00AB6FDE"/>
    <w:rsid w:val="00AD069D"/>
    <w:rsid w:val="00AE7C4A"/>
    <w:rsid w:val="00B55932"/>
    <w:rsid w:val="00B75303"/>
    <w:rsid w:val="00B823CE"/>
    <w:rsid w:val="00B84E51"/>
    <w:rsid w:val="00BE75D8"/>
    <w:rsid w:val="00C0473F"/>
    <w:rsid w:val="00C3304E"/>
    <w:rsid w:val="00CF1D21"/>
    <w:rsid w:val="00D87BBC"/>
    <w:rsid w:val="00D92363"/>
    <w:rsid w:val="00D93609"/>
    <w:rsid w:val="00E43AA4"/>
    <w:rsid w:val="00E509C4"/>
    <w:rsid w:val="00EB1B58"/>
    <w:rsid w:val="00F30941"/>
    <w:rsid w:val="00F75865"/>
    <w:rsid w:val="00FA72AC"/>
    <w:rsid w:val="00FF43A1"/>
    <w:rsid w:val="09656AD8"/>
    <w:rsid w:val="0A5441C5"/>
    <w:rsid w:val="0B6F6C10"/>
    <w:rsid w:val="0DE10556"/>
    <w:rsid w:val="0E1437DA"/>
    <w:rsid w:val="0F5A5F60"/>
    <w:rsid w:val="112A07B9"/>
    <w:rsid w:val="14CD6056"/>
    <w:rsid w:val="18627ABC"/>
    <w:rsid w:val="1CBF70A8"/>
    <w:rsid w:val="20E162A4"/>
    <w:rsid w:val="24750ADE"/>
    <w:rsid w:val="282F79A5"/>
    <w:rsid w:val="2FA964EC"/>
    <w:rsid w:val="33263F18"/>
    <w:rsid w:val="38D36D4A"/>
    <w:rsid w:val="3E462C84"/>
    <w:rsid w:val="3F5D25EA"/>
    <w:rsid w:val="4886426F"/>
    <w:rsid w:val="49077D96"/>
    <w:rsid w:val="5EFB797D"/>
    <w:rsid w:val="69852772"/>
    <w:rsid w:val="73134FF4"/>
    <w:rsid w:val="75740526"/>
    <w:rsid w:val="77BD4C8F"/>
    <w:rsid w:val="77E83D72"/>
    <w:rsid w:val="7BD66FC0"/>
    <w:rsid w:val="7C692B23"/>
    <w:rsid w:val="7E05096E"/>
    <w:rsid w:val="7F1A5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2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962C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962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962CA"/>
    <w:rPr>
      <w:rFonts w:ascii="Times New Roman" w:eastAsia="宋体" w:hAnsi="Times New Roman" w:cs="Times New Roman"/>
      <w:sz w:val="18"/>
      <w:szCs w:val="18"/>
    </w:rPr>
  </w:style>
  <w:style w:type="character" w:customStyle="1" w:styleId="Char">
    <w:name w:val="页脚 Char"/>
    <w:basedOn w:val="a0"/>
    <w:link w:val="a3"/>
    <w:uiPriority w:val="99"/>
    <w:qFormat/>
    <w:rsid w:val="001962CA"/>
    <w:rPr>
      <w:rFonts w:ascii="Times New Roman" w:eastAsia="宋体" w:hAnsi="Times New Roman" w:cs="Times New Roman"/>
      <w:sz w:val="18"/>
      <w:szCs w:val="18"/>
    </w:rPr>
  </w:style>
  <w:style w:type="paragraph" w:customStyle="1" w:styleId="TableParagraph">
    <w:name w:val="Table Paragraph"/>
    <w:basedOn w:val="a"/>
    <w:uiPriority w:val="1"/>
    <w:qFormat/>
    <w:rsid w:val="001962CA"/>
    <w:pPr>
      <w:jc w:val="center"/>
    </w:pPr>
  </w:style>
  <w:style w:type="paragraph" w:styleId="a5">
    <w:name w:val="Balloon Text"/>
    <w:basedOn w:val="a"/>
    <w:link w:val="Char1"/>
    <w:uiPriority w:val="99"/>
    <w:semiHidden/>
    <w:unhideWhenUsed/>
    <w:rsid w:val="00E43AA4"/>
    <w:rPr>
      <w:sz w:val="18"/>
      <w:szCs w:val="18"/>
    </w:rPr>
  </w:style>
  <w:style w:type="character" w:customStyle="1" w:styleId="Char1">
    <w:name w:val="批注框文本 Char"/>
    <w:basedOn w:val="a0"/>
    <w:link w:val="a5"/>
    <w:uiPriority w:val="99"/>
    <w:semiHidden/>
    <w:rsid w:val="00E43AA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C669B38-B536-4647-AEDB-80689668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Application>Microsoft Office Word</Application>
  <DocSecurity>4</DocSecurity>
  <Lines>5</Lines>
  <Paragraphs>1</Paragraphs>
  <ScaleCrop>false</ScaleCrop>
  <Company>Microsoft</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庞师兰</dc:creator>
  <cp:lastModifiedBy>ZHONGM</cp:lastModifiedBy>
  <cp:revision>2</cp:revision>
  <cp:lastPrinted>2022-01-06T10:35:00Z</cp:lastPrinted>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C9ED203DD85545C1AC36E7D907C304A2</vt:lpwstr>
  </property>
</Properties>
</file>