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861" w:rsidRDefault="003A6D18">
      <w:pPr>
        <w:pStyle w:val="biaogecenter"/>
        <w:pBdr>
          <w:top w:val="none" w:sz="0" w:space="1" w:color="auto"/>
          <w:left w:val="none" w:sz="0" w:space="4" w:color="auto"/>
          <w:bottom w:val="none" w:sz="0" w:space="1" w:color="auto"/>
          <w:right w:val="none" w:sz="0" w:space="4" w:color="auto"/>
        </w:pBdr>
        <w:spacing w:line="360" w:lineRule="auto"/>
        <w:rPr>
          <w:b/>
          <w:bCs/>
          <w:sz w:val="28"/>
          <w:szCs w:val="28"/>
        </w:rPr>
      </w:pPr>
      <w:r>
        <w:rPr>
          <w:rFonts w:hint="eastAsia"/>
          <w:b/>
          <w:bCs/>
          <w:sz w:val="28"/>
          <w:szCs w:val="28"/>
        </w:rPr>
        <w:t>长江证券（上海）资产管理有限公司</w:t>
      </w:r>
    </w:p>
    <w:p w:rsidR="000C2861" w:rsidRDefault="003A6D18">
      <w:pPr>
        <w:pStyle w:val="biaogecenter"/>
        <w:spacing w:line="360" w:lineRule="auto"/>
        <w:rPr>
          <w:sz w:val="28"/>
          <w:szCs w:val="28"/>
        </w:rPr>
      </w:pPr>
      <w:r>
        <w:rPr>
          <w:rFonts w:hint="eastAsia"/>
          <w:b/>
          <w:bCs/>
          <w:sz w:val="28"/>
          <w:szCs w:val="28"/>
        </w:rPr>
        <w:t>关于旗下部分基金开通同一基金不同类别基金份额相互转换业务的公告</w:t>
      </w:r>
    </w:p>
    <w:p w:rsidR="000C2861" w:rsidRDefault="000C2861">
      <w:pPr>
        <w:pStyle w:val="biaogecenter"/>
      </w:pPr>
      <w:bookmarkStart w:id="0" w:name="_GoBack"/>
      <w:bookmarkEnd w:id="0"/>
    </w:p>
    <w:p w:rsidR="000C2861" w:rsidRDefault="000C2861">
      <w:pPr>
        <w:widowControl/>
        <w:jc w:val="left"/>
        <w:rPr>
          <w:rFonts w:ascii="宋体" w:hAnsi="宋体"/>
          <w:sz w:val="24"/>
          <w:szCs w:val="24"/>
        </w:rPr>
      </w:pPr>
    </w:p>
    <w:p w:rsidR="000C2861" w:rsidRDefault="003A6D18">
      <w:pPr>
        <w:widowControl/>
        <w:spacing w:line="360" w:lineRule="auto"/>
        <w:ind w:firstLineChars="200" w:firstLine="480"/>
        <w:jc w:val="left"/>
        <w:rPr>
          <w:rFonts w:ascii="宋体" w:hAnsi="宋体"/>
          <w:sz w:val="24"/>
          <w:szCs w:val="24"/>
        </w:rPr>
      </w:pPr>
      <w:r>
        <w:rPr>
          <w:rFonts w:ascii="宋体" w:hAnsi="宋体" w:hint="eastAsia"/>
          <w:sz w:val="24"/>
          <w:szCs w:val="24"/>
        </w:rPr>
        <w:t>为满足广大投资者的投资需求，长江证券（上海）资产管理有限公司（以下简称“本公司”）决定</w:t>
      </w:r>
      <w:r>
        <w:rPr>
          <w:rFonts w:ascii="宋体" w:hAnsi="宋体" w:hint="eastAsia"/>
          <w:sz w:val="24"/>
          <w:szCs w:val="24"/>
        </w:rPr>
        <w:t>自</w:t>
      </w:r>
      <w:r>
        <w:rPr>
          <w:rFonts w:ascii="宋体" w:hAnsi="宋体" w:hint="eastAsia"/>
          <w:sz w:val="24"/>
          <w:szCs w:val="24"/>
        </w:rPr>
        <w:t>2025</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w:t>
      </w:r>
      <w:r>
        <w:rPr>
          <w:rFonts w:ascii="宋体" w:hAnsi="宋体" w:hint="eastAsia"/>
          <w:sz w:val="24"/>
          <w:szCs w:val="24"/>
        </w:rPr>
        <w:t>22</w:t>
      </w:r>
      <w:r>
        <w:rPr>
          <w:rFonts w:ascii="宋体" w:hAnsi="宋体" w:hint="eastAsia"/>
          <w:sz w:val="24"/>
          <w:szCs w:val="24"/>
        </w:rPr>
        <w:t>日起，对本公司旗下部分基金开通同一基金不同类别基金份额之间的转换业务</w:t>
      </w:r>
      <w:r>
        <w:rPr>
          <w:rFonts w:ascii="宋体" w:hAnsi="宋体" w:hint="eastAsia"/>
          <w:sz w:val="24"/>
          <w:szCs w:val="24"/>
        </w:rPr>
        <w:t>。现将相关事项公告如下：</w:t>
      </w:r>
    </w:p>
    <w:p w:rsidR="000C2861" w:rsidRDefault="003A6D18">
      <w:pPr>
        <w:pStyle w:val="dazhangjie"/>
        <w:numPr>
          <w:ilvl w:val="0"/>
          <w:numId w:val="1"/>
        </w:numPr>
        <w:ind w:firstLineChars="200" w:firstLine="482"/>
        <w:rPr>
          <w:b/>
          <w:bCs/>
        </w:rPr>
      </w:pPr>
      <w:r>
        <w:rPr>
          <w:rFonts w:hint="eastAsia"/>
          <w:b/>
          <w:bCs/>
        </w:rPr>
        <w:t>适用基金</w:t>
      </w:r>
    </w:p>
    <w:tbl>
      <w:tblPr>
        <w:tblStyle w:val="a8"/>
        <w:tblW w:w="4999" w:type="pct"/>
        <w:jc w:val="center"/>
        <w:tblLook w:val="04A0"/>
      </w:tblPr>
      <w:tblGrid>
        <w:gridCol w:w="6435"/>
        <w:gridCol w:w="2869"/>
      </w:tblGrid>
      <w:tr w:rsidR="000C2861">
        <w:trPr>
          <w:jc w:val="center"/>
        </w:trPr>
        <w:tc>
          <w:tcPr>
            <w:tcW w:w="3457" w:type="pct"/>
            <w:vAlign w:val="center"/>
          </w:tcPr>
          <w:p w:rsidR="000C2861" w:rsidRDefault="003A6D18">
            <w:pPr>
              <w:pStyle w:val="dazhangjie"/>
              <w:jc w:val="center"/>
              <w:rPr>
                <w:b/>
                <w:bCs/>
              </w:rPr>
            </w:pPr>
            <w:r>
              <w:rPr>
                <w:rFonts w:hint="eastAsia"/>
                <w:b/>
                <w:bCs/>
              </w:rPr>
              <w:t>基金名称</w:t>
            </w:r>
          </w:p>
        </w:tc>
        <w:tc>
          <w:tcPr>
            <w:tcW w:w="1542" w:type="pct"/>
          </w:tcPr>
          <w:p w:rsidR="000C2861" w:rsidRDefault="003A6D18">
            <w:pPr>
              <w:pStyle w:val="dazhangjie"/>
              <w:jc w:val="center"/>
              <w:rPr>
                <w:b/>
                <w:bCs/>
              </w:rPr>
            </w:pPr>
            <w:r>
              <w:rPr>
                <w:rFonts w:hint="eastAsia"/>
                <w:b/>
                <w:bCs/>
              </w:rPr>
              <w:t>基金代码</w:t>
            </w:r>
          </w:p>
        </w:tc>
      </w:tr>
      <w:tr w:rsidR="000C2861">
        <w:trPr>
          <w:jc w:val="center"/>
        </w:trPr>
        <w:tc>
          <w:tcPr>
            <w:tcW w:w="3457" w:type="pct"/>
            <w:vAlign w:val="center"/>
          </w:tcPr>
          <w:p w:rsidR="000C2861" w:rsidRDefault="003A6D18">
            <w:pPr>
              <w:pStyle w:val="dazhangjie"/>
              <w:jc w:val="center"/>
            </w:pPr>
            <w:r>
              <w:rPr>
                <w:rFonts w:hint="eastAsia"/>
              </w:rPr>
              <w:t>长江智能制造混合型发起式证券投资基金</w:t>
            </w:r>
          </w:p>
        </w:tc>
        <w:tc>
          <w:tcPr>
            <w:tcW w:w="1542" w:type="pct"/>
            <w:vAlign w:val="center"/>
          </w:tcPr>
          <w:p w:rsidR="000C2861" w:rsidRDefault="003A6D18">
            <w:pPr>
              <w:pStyle w:val="dazhangjie"/>
              <w:jc w:val="center"/>
            </w:pPr>
            <w:r>
              <w:rPr>
                <w:rFonts w:hint="eastAsia"/>
              </w:rPr>
              <w:t>A</w:t>
            </w:r>
            <w:r>
              <w:rPr>
                <w:rFonts w:hint="eastAsia"/>
              </w:rPr>
              <w:t>类份额</w:t>
            </w:r>
            <w:r>
              <w:rPr>
                <w:rFonts w:hint="eastAsia"/>
              </w:rPr>
              <w:t>：</w:t>
            </w:r>
            <w:r>
              <w:rPr>
                <w:rFonts w:hint="eastAsia"/>
              </w:rPr>
              <w:t>014339</w:t>
            </w:r>
          </w:p>
          <w:p w:rsidR="000C2861" w:rsidRDefault="003A6D18">
            <w:pPr>
              <w:pStyle w:val="dazhangjie"/>
              <w:jc w:val="center"/>
            </w:pPr>
            <w:r>
              <w:rPr>
                <w:rFonts w:hint="eastAsia"/>
              </w:rPr>
              <w:t>C</w:t>
            </w:r>
            <w:r>
              <w:rPr>
                <w:rFonts w:hint="eastAsia"/>
              </w:rPr>
              <w:t>类份额</w:t>
            </w:r>
            <w:r>
              <w:rPr>
                <w:rFonts w:hint="eastAsia"/>
              </w:rPr>
              <w:t>：</w:t>
            </w:r>
            <w:r>
              <w:rPr>
                <w:rFonts w:hint="eastAsia"/>
              </w:rPr>
              <w:t>014340</w:t>
            </w:r>
          </w:p>
        </w:tc>
      </w:tr>
    </w:tbl>
    <w:p w:rsidR="000C2861" w:rsidRDefault="003A6D18">
      <w:pPr>
        <w:pStyle w:val="dazhangjie"/>
        <w:ind w:firstLineChars="200" w:firstLine="482"/>
      </w:pPr>
      <w:r>
        <w:rPr>
          <w:rFonts w:hint="eastAsia"/>
          <w:b/>
          <w:bCs/>
        </w:rPr>
        <w:t>二、业务规则</w:t>
      </w:r>
    </w:p>
    <w:p w:rsidR="000C2861" w:rsidRDefault="003A6D18">
      <w:pPr>
        <w:widowControl/>
        <w:spacing w:line="360" w:lineRule="auto"/>
        <w:ind w:firstLineChars="200" w:firstLine="560"/>
        <w:jc w:val="left"/>
        <w:rPr>
          <w:rFonts w:ascii="宋体" w:hAnsi="宋体"/>
          <w:sz w:val="24"/>
          <w:szCs w:val="24"/>
        </w:rPr>
      </w:pPr>
      <w:r>
        <w:rPr>
          <w:rFonts w:hint="eastAsia"/>
        </w:rPr>
        <w:t>  </w:t>
      </w:r>
      <w:r>
        <w:rPr>
          <w:rFonts w:ascii="宋体" w:hAnsi="宋体" w:hint="eastAsia"/>
          <w:sz w:val="24"/>
          <w:szCs w:val="24"/>
        </w:rPr>
        <w:t>1</w:t>
      </w:r>
      <w:r>
        <w:rPr>
          <w:rFonts w:ascii="宋体" w:hAnsi="宋体" w:hint="eastAsia"/>
          <w:sz w:val="24"/>
          <w:szCs w:val="24"/>
        </w:rPr>
        <w:t>、</w:t>
      </w:r>
      <w:r>
        <w:rPr>
          <w:rFonts w:ascii="宋体" w:hAnsi="宋体" w:hint="eastAsia"/>
          <w:sz w:val="24"/>
          <w:szCs w:val="24"/>
        </w:rPr>
        <w:t>同一基金不同类别基金份额间的转换业务（以下简称“本业务”）是指：若投资者持有的某只基金具有多种类别基金份额（各类基金份额分设不同的基金代码），且登记在同一注册登记机构并由同一销售机构销售，投资者可以将其持有的某一类基金份额转换成同只基金的其他类基金份额。</w:t>
      </w:r>
    </w:p>
    <w:p w:rsidR="000C2861" w:rsidRDefault="003A6D18">
      <w:pPr>
        <w:widowControl/>
        <w:spacing w:line="360" w:lineRule="auto"/>
        <w:ind w:firstLineChars="200" w:firstLine="480"/>
        <w:jc w:val="left"/>
        <w:rPr>
          <w:rFonts w:ascii="宋体" w:hAnsi="宋体"/>
          <w:sz w:val="24"/>
          <w:szCs w:val="24"/>
        </w:rPr>
      </w:pPr>
      <w:r>
        <w:rPr>
          <w:rFonts w:ascii="宋体" w:hAnsi="宋体" w:hint="eastAsia"/>
          <w:sz w:val="24"/>
          <w:szCs w:val="24"/>
        </w:rPr>
        <w:t>2</w:t>
      </w:r>
      <w:r>
        <w:rPr>
          <w:rFonts w:ascii="宋体" w:hAnsi="宋体" w:hint="eastAsia"/>
          <w:sz w:val="24"/>
          <w:szCs w:val="24"/>
        </w:rPr>
        <w:t>、</w:t>
      </w:r>
      <w:r>
        <w:rPr>
          <w:rFonts w:ascii="宋体" w:hAnsi="宋体" w:hint="eastAsia"/>
          <w:sz w:val="24"/>
          <w:szCs w:val="24"/>
        </w:rPr>
        <w:t>同一基金不同类别基金份额间转换转出的最低申请基金份额适用该基金招募说明书中关于最低</w:t>
      </w:r>
      <w:r>
        <w:rPr>
          <w:rFonts w:ascii="宋体" w:hAnsi="宋体" w:hint="eastAsia"/>
          <w:sz w:val="24"/>
          <w:szCs w:val="24"/>
        </w:rPr>
        <w:t>赎回</w:t>
      </w:r>
      <w:r>
        <w:rPr>
          <w:rFonts w:ascii="宋体" w:hAnsi="宋体" w:hint="eastAsia"/>
          <w:sz w:val="24"/>
          <w:szCs w:val="24"/>
        </w:rPr>
        <w:t>份额的规定。</w:t>
      </w:r>
      <w:r>
        <w:rPr>
          <w:rFonts w:ascii="宋体" w:hAnsi="宋体"/>
          <w:sz w:val="24"/>
          <w:szCs w:val="24"/>
        </w:rPr>
        <w:t>若某笔转换导致单个基金账户的基金份额余额</w:t>
      </w:r>
      <w:r>
        <w:rPr>
          <w:rFonts w:ascii="宋体" w:hAnsi="宋体" w:hint="eastAsia"/>
          <w:sz w:val="24"/>
          <w:szCs w:val="24"/>
        </w:rPr>
        <w:t>低于</w:t>
      </w:r>
      <w:r>
        <w:rPr>
          <w:rFonts w:ascii="宋体" w:hAnsi="宋体"/>
          <w:sz w:val="24"/>
          <w:szCs w:val="24"/>
        </w:rPr>
        <w:t>基金合同、招募说明书及相关公告中规定的</w:t>
      </w:r>
      <w:r>
        <w:rPr>
          <w:rFonts w:ascii="宋体" w:hAnsi="宋体" w:hint="eastAsia"/>
          <w:sz w:val="24"/>
          <w:szCs w:val="24"/>
        </w:rPr>
        <w:t>最低份额</w:t>
      </w:r>
      <w:r>
        <w:rPr>
          <w:rFonts w:ascii="宋体" w:hAnsi="宋体" w:hint="eastAsia"/>
          <w:sz w:val="24"/>
          <w:szCs w:val="24"/>
        </w:rPr>
        <w:t>余额</w:t>
      </w:r>
      <w:r>
        <w:rPr>
          <w:rFonts w:ascii="宋体" w:hAnsi="宋体"/>
          <w:sz w:val="24"/>
          <w:szCs w:val="24"/>
        </w:rPr>
        <w:t>，</w:t>
      </w:r>
      <w:r>
        <w:rPr>
          <w:rFonts w:ascii="宋体" w:hAnsi="宋体" w:hint="eastAsia"/>
          <w:sz w:val="24"/>
          <w:szCs w:val="24"/>
        </w:rPr>
        <w:t>登记机构</w:t>
      </w:r>
      <w:r>
        <w:rPr>
          <w:rFonts w:ascii="宋体" w:hAnsi="宋体"/>
          <w:sz w:val="24"/>
          <w:szCs w:val="24"/>
        </w:rPr>
        <w:t>有权对该基金份额持有人基金账户持有的基金份额做全部赎回处理，赎回费按照招募说明书的规定正常收取。</w:t>
      </w:r>
    </w:p>
    <w:p w:rsidR="000C2861" w:rsidRDefault="003A6D18">
      <w:pPr>
        <w:widowControl/>
        <w:spacing w:line="360" w:lineRule="auto"/>
        <w:ind w:firstLineChars="200" w:firstLine="482"/>
        <w:jc w:val="left"/>
        <w:rPr>
          <w:rFonts w:ascii="宋体" w:hAnsi="宋体"/>
          <w:b/>
          <w:bCs/>
          <w:sz w:val="24"/>
          <w:szCs w:val="24"/>
        </w:rPr>
      </w:pPr>
      <w:r>
        <w:rPr>
          <w:rFonts w:ascii="宋体" w:hAnsi="宋体" w:hint="eastAsia"/>
          <w:b/>
          <w:bCs/>
          <w:sz w:val="24"/>
          <w:szCs w:val="24"/>
        </w:rPr>
        <w:t>3</w:t>
      </w:r>
      <w:r>
        <w:rPr>
          <w:rFonts w:ascii="宋体" w:hAnsi="宋体" w:hint="eastAsia"/>
          <w:b/>
          <w:bCs/>
          <w:sz w:val="24"/>
          <w:szCs w:val="24"/>
        </w:rPr>
        <w:t>、</w:t>
      </w:r>
      <w:r>
        <w:rPr>
          <w:rFonts w:ascii="宋体" w:hAnsi="宋体" w:hint="eastAsia"/>
          <w:b/>
          <w:bCs/>
          <w:sz w:val="24"/>
          <w:szCs w:val="24"/>
        </w:rPr>
        <w:t>同一基金不同类别基金份额间相互转换，原持有期限不延续计算。转入的基金份额的持有期</w:t>
      </w:r>
      <w:r>
        <w:rPr>
          <w:rFonts w:ascii="宋体" w:hAnsi="宋体" w:hint="eastAsia"/>
          <w:b/>
          <w:bCs/>
          <w:sz w:val="24"/>
          <w:szCs w:val="24"/>
        </w:rPr>
        <w:t>限</w:t>
      </w:r>
      <w:r>
        <w:rPr>
          <w:rFonts w:ascii="宋体" w:hAnsi="宋体" w:hint="eastAsia"/>
          <w:b/>
          <w:bCs/>
          <w:sz w:val="24"/>
          <w:szCs w:val="24"/>
        </w:rPr>
        <w:t>将自转入的基金份额</w:t>
      </w:r>
      <w:r>
        <w:rPr>
          <w:rFonts w:ascii="宋体" w:hAnsi="宋体" w:hint="eastAsia"/>
          <w:b/>
          <w:bCs/>
          <w:sz w:val="24"/>
          <w:szCs w:val="24"/>
        </w:rPr>
        <w:t>在登记机构的登记</w:t>
      </w:r>
      <w:r>
        <w:rPr>
          <w:rFonts w:ascii="宋体" w:hAnsi="宋体" w:hint="eastAsia"/>
          <w:b/>
          <w:bCs/>
          <w:sz w:val="24"/>
          <w:szCs w:val="24"/>
        </w:rPr>
        <w:t>日起重新开始计算。</w:t>
      </w:r>
    </w:p>
    <w:p w:rsidR="000C2861" w:rsidRDefault="003A6D18">
      <w:pPr>
        <w:widowControl/>
        <w:spacing w:line="360" w:lineRule="auto"/>
        <w:ind w:firstLineChars="200" w:firstLine="480"/>
        <w:jc w:val="left"/>
        <w:rPr>
          <w:rFonts w:ascii="宋体" w:hAnsi="宋体"/>
          <w:sz w:val="24"/>
          <w:szCs w:val="24"/>
        </w:rPr>
      </w:pPr>
      <w:r>
        <w:rPr>
          <w:rFonts w:ascii="宋体" w:hAnsi="宋体" w:hint="eastAsia"/>
          <w:sz w:val="24"/>
          <w:szCs w:val="24"/>
        </w:rPr>
        <w:t>4</w:t>
      </w:r>
      <w:r>
        <w:rPr>
          <w:rFonts w:ascii="宋体" w:hAnsi="宋体" w:hint="eastAsia"/>
          <w:sz w:val="24"/>
          <w:szCs w:val="24"/>
        </w:rPr>
        <w:t>、</w:t>
      </w:r>
      <w:r>
        <w:rPr>
          <w:rFonts w:ascii="宋体" w:hAnsi="宋体" w:hint="eastAsia"/>
          <w:sz w:val="24"/>
          <w:szCs w:val="24"/>
        </w:rPr>
        <w:t>同一基金不同类别基金份额转换时，以</w:t>
      </w:r>
      <w:r>
        <w:rPr>
          <w:rFonts w:ascii="宋体" w:hAnsi="宋体" w:hint="eastAsia"/>
          <w:sz w:val="24"/>
          <w:szCs w:val="24"/>
        </w:rPr>
        <w:t>转换</w:t>
      </w:r>
      <w:r>
        <w:rPr>
          <w:rFonts w:ascii="宋体" w:hAnsi="宋体" w:hint="eastAsia"/>
          <w:sz w:val="24"/>
          <w:szCs w:val="24"/>
        </w:rPr>
        <w:t>申请当日各类基金份额净值为基础计算。</w:t>
      </w:r>
    </w:p>
    <w:p w:rsidR="000C2861" w:rsidRDefault="003A6D18">
      <w:pPr>
        <w:widowControl/>
        <w:spacing w:line="360" w:lineRule="auto"/>
        <w:ind w:firstLineChars="200" w:firstLine="480"/>
        <w:jc w:val="left"/>
        <w:rPr>
          <w:rFonts w:ascii="宋体" w:hAnsi="宋体"/>
          <w:sz w:val="24"/>
          <w:szCs w:val="24"/>
        </w:rPr>
      </w:pPr>
      <w:r>
        <w:rPr>
          <w:rFonts w:ascii="宋体" w:hAnsi="宋体" w:hint="eastAsia"/>
          <w:sz w:val="24"/>
          <w:szCs w:val="24"/>
        </w:rPr>
        <w:t>5</w:t>
      </w:r>
      <w:r>
        <w:rPr>
          <w:rFonts w:ascii="宋体" w:hAnsi="宋体" w:hint="eastAsia"/>
          <w:sz w:val="24"/>
          <w:szCs w:val="24"/>
        </w:rPr>
        <w:t>、</w:t>
      </w:r>
      <w:r>
        <w:rPr>
          <w:rFonts w:ascii="宋体" w:hAnsi="宋体" w:hint="eastAsia"/>
          <w:sz w:val="24"/>
          <w:szCs w:val="24"/>
        </w:rPr>
        <w:t>投资者采用“份额转换”的原则提交申请，同一基金不同类别基金份额转换遵循“先进先出”的业务规则。</w:t>
      </w:r>
      <w:r>
        <w:rPr>
          <w:rFonts w:ascii="宋体" w:hAnsi="宋体"/>
          <w:sz w:val="24"/>
          <w:szCs w:val="24"/>
        </w:rPr>
        <w:t>即份额</w:t>
      </w:r>
      <w:r>
        <w:rPr>
          <w:rFonts w:ascii="宋体" w:hAnsi="宋体" w:hint="eastAsia"/>
          <w:sz w:val="24"/>
          <w:szCs w:val="24"/>
        </w:rPr>
        <w:t>登记日</w:t>
      </w:r>
      <w:r>
        <w:rPr>
          <w:rFonts w:ascii="宋体" w:hAnsi="宋体"/>
          <w:sz w:val="24"/>
          <w:szCs w:val="24"/>
        </w:rPr>
        <w:t>在前的先转换</w:t>
      </w:r>
      <w:r>
        <w:rPr>
          <w:rFonts w:ascii="宋体" w:hAnsi="宋体" w:hint="eastAsia"/>
          <w:sz w:val="24"/>
          <w:szCs w:val="24"/>
        </w:rPr>
        <w:t>转</w:t>
      </w:r>
      <w:r>
        <w:rPr>
          <w:rFonts w:ascii="宋体" w:hAnsi="宋体"/>
          <w:sz w:val="24"/>
          <w:szCs w:val="24"/>
        </w:rPr>
        <w:t>出，份额</w:t>
      </w:r>
      <w:r>
        <w:rPr>
          <w:rFonts w:ascii="宋体" w:hAnsi="宋体" w:hint="eastAsia"/>
          <w:sz w:val="24"/>
          <w:szCs w:val="24"/>
        </w:rPr>
        <w:t>登记日</w:t>
      </w:r>
      <w:r>
        <w:rPr>
          <w:rFonts w:ascii="宋体" w:hAnsi="宋体"/>
          <w:sz w:val="24"/>
          <w:szCs w:val="24"/>
        </w:rPr>
        <w:t>在后的后转换</w:t>
      </w:r>
      <w:r>
        <w:rPr>
          <w:rFonts w:ascii="宋体" w:hAnsi="宋体" w:hint="eastAsia"/>
          <w:sz w:val="24"/>
          <w:szCs w:val="24"/>
        </w:rPr>
        <w:t>转</w:t>
      </w:r>
      <w:r>
        <w:rPr>
          <w:rFonts w:ascii="宋体" w:hAnsi="宋体"/>
          <w:sz w:val="24"/>
          <w:szCs w:val="24"/>
        </w:rPr>
        <w:t>出</w:t>
      </w:r>
      <w:r>
        <w:rPr>
          <w:rFonts w:ascii="宋体" w:hAnsi="宋体" w:hint="eastAsia"/>
          <w:sz w:val="24"/>
          <w:szCs w:val="24"/>
        </w:rPr>
        <w:t>。</w:t>
      </w:r>
      <w:r>
        <w:rPr>
          <w:rFonts w:ascii="宋体" w:hAnsi="宋体"/>
          <w:sz w:val="24"/>
          <w:szCs w:val="24"/>
        </w:rPr>
        <w:t>如果转换申请当日，同时有赎回申请的，则</w:t>
      </w:r>
      <w:r>
        <w:rPr>
          <w:rFonts w:ascii="宋体" w:hAnsi="宋体"/>
          <w:sz w:val="24"/>
          <w:szCs w:val="24"/>
        </w:rPr>
        <w:t>遵循先赎回后转换的处理原则。</w:t>
      </w:r>
    </w:p>
    <w:p w:rsidR="000C2861" w:rsidRDefault="003A6D18">
      <w:pPr>
        <w:widowControl/>
        <w:spacing w:line="360" w:lineRule="auto"/>
        <w:ind w:firstLineChars="200" w:firstLine="480"/>
        <w:jc w:val="left"/>
        <w:rPr>
          <w:rFonts w:ascii="宋体" w:hAnsi="宋体"/>
          <w:sz w:val="24"/>
          <w:szCs w:val="24"/>
        </w:rPr>
      </w:pPr>
      <w:r>
        <w:rPr>
          <w:rFonts w:ascii="宋体" w:hAnsi="宋体" w:hint="eastAsia"/>
          <w:sz w:val="24"/>
          <w:szCs w:val="24"/>
        </w:rPr>
        <w:t>5</w:t>
      </w:r>
      <w:r>
        <w:rPr>
          <w:rFonts w:ascii="宋体" w:hAnsi="宋体" w:hint="eastAsia"/>
          <w:sz w:val="24"/>
          <w:szCs w:val="24"/>
        </w:rPr>
        <w:t>、</w:t>
      </w:r>
      <w:r>
        <w:rPr>
          <w:rFonts w:ascii="宋体" w:hAnsi="宋体" w:hint="eastAsia"/>
          <w:sz w:val="24"/>
          <w:szCs w:val="24"/>
        </w:rPr>
        <w:t>投资者办理本业务时，转出基金份额类别必须处于可赎回状态，转入基金份额类别必须处于可申购状态，已经冻结的基金份额不得申请转换业务。当转换转</w:t>
      </w:r>
      <w:r>
        <w:rPr>
          <w:rFonts w:ascii="宋体" w:hAnsi="宋体" w:hint="eastAsia"/>
          <w:sz w:val="24"/>
          <w:szCs w:val="24"/>
        </w:rPr>
        <w:t>出</w:t>
      </w:r>
      <w:r>
        <w:rPr>
          <w:rFonts w:ascii="宋体" w:hAnsi="宋体" w:hint="eastAsia"/>
          <w:sz w:val="24"/>
          <w:szCs w:val="24"/>
        </w:rPr>
        <w:t>的份额</w:t>
      </w:r>
      <w:r>
        <w:rPr>
          <w:rFonts w:ascii="宋体" w:hAnsi="宋体" w:hint="eastAsia"/>
          <w:sz w:val="24"/>
          <w:szCs w:val="24"/>
        </w:rPr>
        <w:lastRenderedPageBreak/>
        <w:t>类别因其他原因暂停转换转</w:t>
      </w:r>
      <w:r>
        <w:rPr>
          <w:rFonts w:ascii="宋体" w:hAnsi="宋体" w:hint="eastAsia"/>
          <w:sz w:val="24"/>
          <w:szCs w:val="24"/>
        </w:rPr>
        <w:t>出</w:t>
      </w:r>
      <w:r>
        <w:rPr>
          <w:rFonts w:ascii="宋体" w:hAnsi="宋体" w:hint="eastAsia"/>
          <w:sz w:val="24"/>
          <w:szCs w:val="24"/>
        </w:rPr>
        <w:t>、暂停大额转换转</w:t>
      </w:r>
      <w:r>
        <w:rPr>
          <w:rFonts w:ascii="宋体" w:hAnsi="宋体" w:hint="eastAsia"/>
          <w:sz w:val="24"/>
          <w:szCs w:val="24"/>
        </w:rPr>
        <w:t>出</w:t>
      </w:r>
      <w:r>
        <w:rPr>
          <w:rFonts w:ascii="宋体" w:hAnsi="宋体" w:hint="eastAsia"/>
          <w:sz w:val="24"/>
          <w:szCs w:val="24"/>
        </w:rPr>
        <w:t>业务或有其他交易状态限制的，</w:t>
      </w:r>
      <w:r>
        <w:rPr>
          <w:rFonts w:ascii="宋体" w:hAnsi="宋体" w:hint="eastAsia"/>
          <w:sz w:val="24"/>
          <w:szCs w:val="24"/>
        </w:rPr>
        <w:t>或者</w:t>
      </w:r>
      <w:r>
        <w:rPr>
          <w:rFonts w:ascii="宋体" w:hAnsi="宋体" w:hint="eastAsia"/>
          <w:sz w:val="24"/>
          <w:szCs w:val="24"/>
        </w:rPr>
        <w:t>转换转入的份额类别因其他原因暂停转换转入、暂停大额转换转入业务或有其他交易状态限制的，本业务亦受相关交易状态限制，基金管理人另有公告的除外。</w:t>
      </w:r>
    </w:p>
    <w:p w:rsidR="000C2861" w:rsidRDefault="003A6D18">
      <w:pPr>
        <w:widowControl/>
        <w:spacing w:line="360" w:lineRule="auto"/>
        <w:ind w:firstLineChars="200" w:firstLine="480"/>
        <w:jc w:val="left"/>
        <w:rPr>
          <w:rFonts w:ascii="宋体" w:hAnsi="宋体"/>
          <w:sz w:val="24"/>
          <w:szCs w:val="24"/>
        </w:rPr>
      </w:pPr>
      <w:r>
        <w:rPr>
          <w:rFonts w:ascii="宋体" w:hAnsi="宋体" w:hint="eastAsia"/>
          <w:sz w:val="24"/>
          <w:szCs w:val="24"/>
        </w:rPr>
        <w:t>6</w:t>
      </w:r>
      <w:r>
        <w:rPr>
          <w:rFonts w:ascii="宋体" w:hAnsi="宋体" w:hint="eastAsia"/>
          <w:sz w:val="24"/>
          <w:szCs w:val="24"/>
        </w:rPr>
        <w:t>、</w:t>
      </w:r>
      <w:r>
        <w:rPr>
          <w:rFonts w:ascii="宋体" w:hAnsi="宋体" w:hint="eastAsia"/>
          <w:sz w:val="24"/>
          <w:szCs w:val="24"/>
        </w:rPr>
        <w:t>自</w:t>
      </w:r>
      <w:r>
        <w:rPr>
          <w:rFonts w:ascii="宋体" w:hAnsi="宋体" w:hint="eastAsia"/>
          <w:sz w:val="24"/>
          <w:szCs w:val="24"/>
        </w:rPr>
        <w:t>2025</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w:t>
      </w:r>
      <w:r>
        <w:rPr>
          <w:rFonts w:ascii="宋体" w:hAnsi="宋体" w:hint="eastAsia"/>
          <w:sz w:val="24"/>
          <w:szCs w:val="24"/>
        </w:rPr>
        <w:t>22</w:t>
      </w:r>
      <w:r>
        <w:rPr>
          <w:rFonts w:ascii="宋体" w:hAnsi="宋体" w:hint="eastAsia"/>
          <w:sz w:val="24"/>
          <w:szCs w:val="24"/>
        </w:rPr>
        <w:t>日起，本公司直销</w:t>
      </w:r>
      <w:r>
        <w:rPr>
          <w:rFonts w:ascii="宋体" w:hAnsi="宋体" w:hint="eastAsia"/>
          <w:sz w:val="24"/>
          <w:szCs w:val="24"/>
        </w:rPr>
        <w:t>渠道</w:t>
      </w:r>
      <w:r>
        <w:rPr>
          <w:rFonts w:ascii="宋体" w:hAnsi="宋体" w:hint="eastAsia"/>
          <w:sz w:val="24"/>
          <w:szCs w:val="24"/>
        </w:rPr>
        <w:t>开通本业务。</w:t>
      </w:r>
      <w:r>
        <w:rPr>
          <w:rFonts w:hint="eastAsia"/>
          <w:sz w:val="24"/>
          <w:szCs w:val="24"/>
        </w:rPr>
        <w:t>其他销售机构如后续开通本业务，本公司将不再另行公告，敬请广大投资者关注各销售机构开通本业务的公告或咨询有关销售机构。</w:t>
      </w:r>
    </w:p>
    <w:p w:rsidR="000C2861" w:rsidRDefault="003A6D18">
      <w:pPr>
        <w:pStyle w:val="zhangjiep"/>
        <w:ind w:firstLineChars="200" w:firstLine="482"/>
      </w:pPr>
      <w:r>
        <w:rPr>
          <w:rFonts w:hint="eastAsia"/>
          <w:b/>
          <w:bCs/>
        </w:rPr>
        <w:t>三、</w:t>
      </w:r>
      <w:r>
        <w:rPr>
          <w:rFonts w:hint="eastAsia"/>
          <w:b/>
          <w:bCs/>
        </w:rPr>
        <w:t>费率</w:t>
      </w:r>
      <w:r>
        <w:rPr>
          <w:rFonts w:hint="eastAsia"/>
          <w:b/>
          <w:bCs/>
        </w:rPr>
        <w:t>计算</w:t>
      </w:r>
    </w:p>
    <w:p w:rsidR="000C2861" w:rsidRDefault="003A6D18">
      <w:pPr>
        <w:widowControl/>
        <w:spacing w:line="360" w:lineRule="auto"/>
        <w:ind w:firstLineChars="200" w:firstLine="480"/>
        <w:jc w:val="left"/>
        <w:rPr>
          <w:rFonts w:ascii="宋体" w:hAnsi="宋体"/>
          <w:sz w:val="24"/>
          <w:szCs w:val="24"/>
        </w:rPr>
      </w:pPr>
      <w:r>
        <w:rPr>
          <w:rFonts w:ascii="宋体" w:hAnsi="宋体" w:hint="eastAsia"/>
          <w:sz w:val="24"/>
          <w:szCs w:val="24"/>
        </w:rPr>
        <w:t>1</w:t>
      </w:r>
      <w:r>
        <w:rPr>
          <w:rFonts w:ascii="宋体" w:hAnsi="宋体" w:hint="eastAsia"/>
          <w:sz w:val="24"/>
          <w:szCs w:val="24"/>
        </w:rPr>
        <w:t>、不同类别基金份额的</w:t>
      </w:r>
      <w:r>
        <w:rPr>
          <w:rFonts w:ascii="宋体" w:hAnsi="宋体" w:hint="eastAsia"/>
          <w:sz w:val="24"/>
          <w:szCs w:val="24"/>
        </w:rPr>
        <w:t>转换费用由转出基金份额类别赎回费用</w:t>
      </w:r>
      <w:r>
        <w:rPr>
          <w:rFonts w:ascii="宋体" w:hAnsi="宋体" w:hint="eastAsia"/>
          <w:sz w:val="24"/>
          <w:szCs w:val="24"/>
        </w:rPr>
        <w:t>、转出与转入</w:t>
      </w:r>
      <w:r>
        <w:rPr>
          <w:rFonts w:ascii="宋体" w:hAnsi="宋体" w:hint="eastAsia"/>
          <w:sz w:val="24"/>
          <w:szCs w:val="24"/>
        </w:rPr>
        <w:t>基金</w:t>
      </w:r>
      <w:r>
        <w:rPr>
          <w:rFonts w:ascii="宋体" w:hAnsi="宋体" w:hint="eastAsia"/>
          <w:sz w:val="24"/>
          <w:szCs w:val="24"/>
        </w:rPr>
        <w:t>份额类别之间的</w:t>
      </w:r>
      <w:r>
        <w:rPr>
          <w:rFonts w:ascii="宋体" w:hAnsi="宋体" w:hint="eastAsia"/>
          <w:sz w:val="24"/>
          <w:szCs w:val="24"/>
        </w:rPr>
        <w:t>申购补差费用两部分构成。具体收取情况视每次转换时不同类别基金份额的申购费率的差异情况</w:t>
      </w:r>
      <w:r>
        <w:rPr>
          <w:rFonts w:ascii="宋体" w:hAnsi="宋体" w:hint="eastAsia"/>
          <w:sz w:val="24"/>
          <w:szCs w:val="24"/>
        </w:rPr>
        <w:t>和赎回费率</w:t>
      </w:r>
      <w:r>
        <w:rPr>
          <w:rFonts w:ascii="宋体" w:hAnsi="宋体" w:hint="eastAsia"/>
          <w:sz w:val="24"/>
          <w:szCs w:val="24"/>
        </w:rPr>
        <w:t>而定。基金转换费用由基金份额持有人承担。</w:t>
      </w:r>
    </w:p>
    <w:p w:rsidR="000C2861" w:rsidRDefault="003A6D18">
      <w:pPr>
        <w:widowControl/>
        <w:spacing w:line="360" w:lineRule="auto"/>
        <w:ind w:firstLineChars="200" w:firstLine="480"/>
        <w:jc w:val="left"/>
        <w:rPr>
          <w:rFonts w:ascii="宋体" w:hAnsi="宋体"/>
          <w:sz w:val="24"/>
          <w:szCs w:val="24"/>
        </w:rPr>
      </w:pPr>
      <w:r>
        <w:rPr>
          <w:rFonts w:ascii="宋体" w:hAnsi="宋体" w:hint="eastAsia"/>
          <w:sz w:val="24"/>
          <w:szCs w:val="24"/>
        </w:rPr>
        <w:t>2</w:t>
      </w:r>
      <w:r>
        <w:rPr>
          <w:rFonts w:ascii="宋体" w:hAnsi="宋体" w:hint="eastAsia"/>
          <w:sz w:val="24"/>
          <w:szCs w:val="24"/>
        </w:rPr>
        <w:t>、</w:t>
      </w:r>
      <w:r>
        <w:rPr>
          <w:rFonts w:ascii="宋体" w:hAnsi="宋体" w:hint="eastAsia"/>
          <w:sz w:val="24"/>
          <w:szCs w:val="24"/>
        </w:rPr>
        <w:t>具体计算公式</w:t>
      </w:r>
      <w:r>
        <w:rPr>
          <w:rFonts w:ascii="宋体" w:hAnsi="宋体" w:hint="eastAsia"/>
          <w:sz w:val="24"/>
          <w:szCs w:val="24"/>
        </w:rPr>
        <w:t>如下</w:t>
      </w:r>
      <w:r>
        <w:rPr>
          <w:rFonts w:ascii="宋体" w:hAnsi="宋体" w:hint="eastAsia"/>
          <w:sz w:val="24"/>
          <w:szCs w:val="24"/>
        </w:rPr>
        <w:t>：</w:t>
      </w:r>
    </w:p>
    <w:p w:rsidR="000C2861" w:rsidRDefault="003A6D18">
      <w:pPr>
        <w:widowControl/>
        <w:spacing w:line="360" w:lineRule="auto"/>
        <w:ind w:firstLineChars="200" w:firstLine="480"/>
        <w:jc w:val="left"/>
        <w:rPr>
          <w:rFonts w:ascii="宋体" w:hAnsi="宋体"/>
          <w:sz w:val="24"/>
          <w:szCs w:val="24"/>
        </w:rPr>
      </w:pPr>
      <w:r>
        <w:rPr>
          <w:rFonts w:ascii="宋体" w:hAnsi="宋体" w:hint="eastAsia"/>
          <w:sz w:val="24"/>
          <w:szCs w:val="24"/>
        </w:rPr>
        <w:t>转换费用</w:t>
      </w:r>
      <w:r>
        <w:rPr>
          <w:rFonts w:ascii="宋体" w:hAnsi="宋体" w:hint="eastAsia"/>
          <w:sz w:val="24"/>
          <w:szCs w:val="24"/>
        </w:rPr>
        <w:t>=</w:t>
      </w:r>
      <w:r>
        <w:rPr>
          <w:rFonts w:ascii="宋体" w:hAnsi="宋体" w:hint="eastAsia"/>
          <w:sz w:val="24"/>
          <w:szCs w:val="24"/>
        </w:rPr>
        <w:t>转出基金份额类别赎回费用</w:t>
      </w:r>
      <w:r>
        <w:rPr>
          <w:rFonts w:ascii="宋体" w:hAnsi="宋体" w:hint="eastAsia"/>
          <w:sz w:val="24"/>
          <w:szCs w:val="24"/>
        </w:rPr>
        <w:t>+</w:t>
      </w:r>
      <w:r>
        <w:rPr>
          <w:rFonts w:ascii="宋体" w:hAnsi="宋体" w:hint="eastAsia"/>
          <w:sz w:val="24"/>
          <w:szCs w:val="24"/>
        </w:rPr>
        <w:t>申购补差费用</w:t>
      </w:r>
    </w:p>
    <w:p w:rsidR="000C2861" w:rsidRDefault="003A6D18">
      <w:pPr>
        <w:widowControl/>
        <w:spacing w:line="360" w:lineRule="auto"/>
        <w:ind w:firstLineChars="200" w:firstLine="480"/>
        <w:jc w:val="left"/>
        <w:rPr>
          <w:rFonts w:ascii="宋体" w:hAnsi="宋体"/>
          <w:sz w:val="24"/>
          <w:szCs w:val="24"/>
        </w:rPr>
      </w:pPr>
      <w:r>
        <w:rPr>
          <w:rFonts w:ascii="宋体" w:hAnsi="宋体" w:hint="eastAsia"/>
          <w:sz w:val="24"/>
          <w:szCs w:val="24"/>
        </w:rPr>
        <w:t>转出金额</w:t>
      </w:r>
      <w:r>
        <w:rPr>
          <w:rFonts w:ascii="宋体" w:hAnsi="宋体" w:hint="eastAsia"/>
          <w:sz w:val="24"/>
          <w:szCs w:val="24"/>
        </w:rPr>
        <w:t>=</w:t>
      </w:r>
      <w:r>
        <w:rPr>
          <w:rFonts w:ascii="宋体" w:hAnsi="宋体" w:hint="eastAsia"/>
          <w:sz w:val="24"/>
          <w:szCs w:val="24"/>
        </w:rPr>
        <w:t>转出基金份额×转出基金份额</w:t>
      </w:r>
      <w:r>
        <w:rPr>
          <w:rFonts w:ascii="宋体" w:hAnsi="宋体"/>
          <w:sz w:val="24"/>
          <w:szCs w:val="24"/>
        </w:rPr>
        <w:t>类别</w:t>
      </w:r>
      <w:r>
        <w:rPr>
          <w:rFonts w:ascii="宋体" w:hAnsi="宋体" w:hint="eastAsia"/>
          <w:sz w:val="24"/>
          <w:szCs w:val="24"/>
        </w:rPr>
        <w:t>转出申请当</w:t>
      </w:r>
      <w:r>
        <w:rPr>
          <w:rFonts w:ascii="宋体" w:hAnsi="宋体" w:hint="eastAsia"/>
          <w:sz w:val="24"/>
          <w:szCs w:val="24"/>
        </w:rPr>
        <w:t>日</w:t>
      </w:r>
      <w:r>
        <w:rPr>
          <w:rFonts w:ascii="宋体" w:hAnsi="宋体" w:hint="eastAsia"/>
          <w:sz w:val="24"/>
          <w:szCs w:val="24"/>
        </w:rPr>
        <w:t>的</w:t>
      </w:r>
      <w:r>
        <w:rPr>
          <w:rFonts w:ascii="宋体" w:hAnsi="宋体" w:hint="eastAsia"/>
          <w:sz w:val="24"/>
          <w:szCs w:val="24"/>
        </w:rPr>
        <w:t>基金</w:t>
      </w:r>
      <w:r>
        <w:rPr>
          <w:rFonts w:ascii="宋体" w:hAnsi="宋体" w:hint="eastAsia"/>
          <w:sz w:val="24"/>
          <w:szCs w:val="24"/>
        </w:rPr>
        <w:t>份额</w:t>
      </w:r>
      <w:r>
        <w:rPr>
          <w:rFonts w:ascii="宋体" w:hAnsi="宋体" w:hint="eastAsia"/>
          <w:sz w:val="24"/>
          <w:szCs w:val="24"/>
        </w:rPr>
        <w:t>净值</w:t>
      </w:r>
    </w:p>
    <w:p w:rsidR="000C2861" w:rsidRDefault="003A6D18">
      <w:pPr>
        <w:widowControl/>
        <w:spacing w:line="360" w:lineRule="auto"/>
        <w:ind w:firstLineChars="200" w:firstLine="480"/>
        <w:jc w:val="left"/>
        <w:rPr>
          <w:rFonts w:ascii="宋体" w:hAnsi="宋体"/>
          <w:sz w:val="24"/>
          <w:szCs w:val="24"/>
        </w:rPr>
      </w:pPr>
      <w:r>
        <w:rPr>
          <w:rFonts w:ascii="宋体" w:hAnsi="宋体" w:hint="eastAsia"/>
          <w:sz w:val="24"/>
          <w:szCs w:val="24"/>
        </w:rPr>
        <w:t>转出基金份额类别</w:t>
      </w:r>
      <w:r>
        <w:rPr>
          <w:rFonts w:ascii="宋体" w:hAnsi="宋体" w:hint="eastAsia"/>
          <w:sz w:val="24"/>
          <w:szCs w:val="24"/>
        </w:rPr>
        <w:t>赎回费用</w:t>
      </w:r>
      <w:r>
        <w:rPr>
          <w:rFonts w:ascii="宋体" w:hAnsi="宋体" w:hint="eastAsia"/>
          <w:sz w:val="24"/>
          <w:szCs w:val="24"/>
        </w:rPr>
        <w:t>=</w:t>
      </w:r>
      <w:r>
        <w:rPr>
          <w:rFonts w:ascii="宋体" w:hAnsi="宋体" w:hint="eastAsia"/>
          <w:sz w:val="24"/>
          <w:szCs w:val="24"/>
        </w:rPr>
        <w:t xml:space="preserve">转出金额×转出基金份额类别赎回费率　　</w:t>
      </w:r>
    </w:p>
    <w:p w:rsidR="000C2861" w:rsidRDefault="003A6D18">
      <w:pPr>
        <w:widowControl/>
        <w:spacing w:line="360" w:lineRule="auto"/>
        <w:ind w:firstLineChars="200" w:firstLine="480"/>
        <w:jc w:val="left"/>
        <w:rPr>
          <w:rFonts w:ascii="宋体" w:hAnsi="宋体"/>
          <w:sz w:val="24"/>
          <w:szCs w:val="24"/>
        </w:rPr>
      </w:pPr>
      <w:r>
        <w:rPr>
          <w:rFonts w:ascii="宋体" w:hAnsi="宋体" w:hint="eastAsia"/>
          <w:sz w:val="24"/>
          <w:szCs w:val="24"/>
        </w:rPr>
        <w:t>转入金额</w:t>
      </w:r>
      <w:r>
        <w:rPr>
          <w:rFonts w:ascii="宋体" w:hAnsi="宋体" w:hint="eastAsia"/>
          <w:sz w:val="24"/>
          <w:szCs w:val="24"/>
        </w:rPr>
        <w:t>=</w:t>
      </w:r>
      <w:r>
        <w:rPr>
          <w:rFonts w:ascii="宋体" w:hAnsi="宋体" w:hint="eastAsia"/>
          <w:sz w:val="24"/>
          <w:szCs w:val="24"/>
        </w:rPr>
        <w:t>转出金额</w:t>
      </w:r>
      <w:r>
        <w:rPr>
          <w:rFonts w:ascii="宋体" w:hAnsi="宋体" w:hint="eastAsia"/>
          <w:sz w:val="24"/>
          <w:szCs w:val="24"/>
        </w:rPr>
        <w:t>-</w:t>
      </w:r>
      <w:r>
        <w:rPr>
          <w:rFonts w:ascii="宋体" w:hAnsi="宋体" w:hint="eastAsia"/>
          <w:sz w:val="24"/>
          <w:szCs w:val="24"/>
        </w:rPr>
        <w:t>转出基金份额类别赎回费</w:t>
      </w:r>
    </w:p>
    <w:p w:rsidR="000C2861" w:rsidRDefault="003A6D18">
      <w:pPr>
        <w:widowControl/>
        <w:spacing w:line="360" w:lineRule="auto"/>
        <w:ind w:firstLineChars="200" w:firstLine="480"/>
        <w:jc w:val="left"/>
        <w:rPr>
          <w:rFonts w:ascii="宋体" w:hAnsi="宋体"/>
          <w:sz w:val="24"/>
          <w:szCs w:val="24"/>
        </w:rPr>
      </w:pPr>
      <w:r>
        <w:rPr>
          <w:rFonts w:ascii="宋体" w:hAnsi="宋体" w:hint="eastAsia"/>
          <w:sz w:val="24"/>
          <w:szCs w:val="24"/>
        </w:rPr>
        <w:t>转入基金份额类别申购费</w:t>
      </w:r>
      <w:r>
        <w:rPr>
          <w:rFonts w:ascii="宋体" w:hAnsi="宋体" w:hint="eastAsia"/>
          <w:sz w:val="24"/>
          <w:szCs w:val="24"/>
        </w:rPr>
        <w:t>=</w:t>
      </w:r>
      <w:r>
        <w:rPr>
          <w:rFonts w:ascii="宋体" w:hAnsi="宋体" w:hint="eastAsia"/>
          <w:sz w:val="24"/>
          <w:szCs w:val="24"/>
        </w:rPr>
        <w:t>转入金额×转入基金份额类别申购费率</w:t>
      </w:r>
      <w:r>
        <w:rPr>
          <w:rFonts w:ascii="宋体" w:hAnsi="宋体" w:hint="eastAsia"/>
          <w:sz w:val="24"/>
          <w:szCs w:val="24"/>
        </w:rPr>
        <w:t>/(1+</w:t>
      </w:r>
      <w:r>
        <w:rPr>
          <w:rFonts w:ascii="宋体" w:hAnsi="宋体" w:hint="eastAsia"/>
          <w:sz w:val="24"/>
          <w:szCs w:val="24"/>
        </w:rPr>
        <w:t>转入基金份额类别申购费率</w:t>
      </w:r>
      <w:r>
        <w:rPr>
          <w:rFonts w:ascii="宋体" w:hAnsi="宋体" w:hint="eastAsia"/>
          <w:sz w:val="24"/>
          <w:szCs w:val="24"/>
        </w:rPr>
        <w:t>)</w:t>
      </w:r>
    </w:p>
    <w:p w:rsidR="000C2861" w:rsidRDefault="003A6D18">
      <w:pPr>
        <w:widowControl/>
        <w:spacing w:line="360" w:lineRule="auto"/>
        <w:ind w:firstLineChars="200" w:firstLine="480"/>
        <w:jc w:val="left"/>
        <w:rPr>
          <w:rFonts w:ascii="宋体" w:hAnsi="宋体"/>
          <w:sz w:val="24"/>
          <w:szCs w:val="24"/>
        </w:rPr>
      </w:pPr>
      <w:r>
        <w:rPr>
          <w:rFonts w:ascii="宋体" w:hAnsi="宋体"/>
          <w:sz w:val="24"/>
          <w:szCs w:val="24"/>
        </w:rPr>
        <w:t>对于适用固定金额申购费率的</w:t>
      </w:r>
      <w:r>
        <w:rPr>
          <w:rFonts w:ascii="宋体" w:hAnsi="宋体" w:hint="eastAsia"/>
          <w:sz w:val="24"/>
          <w:szCs w:val="24"/>
        </w:rPr>
        <w:t>转入申请</w:t>
      </w:r>
      <w:r>
        <w:rPr>
          <w:rFonts w:ascii="宋体" w:hAnsi="宋体"/>
          <w:sz w:val="24"/>
          <w:szCs w:val="24"/>
        </w:rPr>
        <w:t>，</w:t>
      </w:r>
      <w:r>
        <w:rPr>
          <w:rFonts w:ascii="宋体" w:hAnsi="宋体" w:hint="eastAsia"/>
          <w:sz w:val="24"/>
          <w:szCs w:val="24"/>
        </w:rPr>
        <w:t>转</w:t>
      </w:r>
      <w:r>
        <w:rPr>
          <w:rFonts w:ascii="宋体" w:hAnsi="宋体" w:hint="eastAsia"/>
          <w:sz w:val="24"/>
          <w:szCs w:val="24"/>
        </w:rPr>
        <w:t>入</w:t>
      </w:r>
      <w:r>
        <w:rPr>
          <w:rFonts w:ascii="宋体" w:hAnsi="宋体" w:hint="eastAsia"/>
          <w:sz w:val="24"/>
          <w:szCs w:val="24"/>
        </w:rPr>
        <w:t>基金份额类别申购费</w:t>
      </w:r>
      <w:r>
        <w:rPr>
          <w:rFonts w:ascii="宋体" w:hAnsi="宋体"/>
          <w:sz w:val="24"/>
          <w:szCs w:val="24"/>
        </w:rPr>
        <w:t>=</w:t>
      </w:r>
      <w:r>
        <w:rPr>
          <w:rFonts w:ascii="宋体" w:hAnsi="宋体" w:hint="eastAsia"/>
          <w:sz w:val="24"/>
          <w:szCs w:val="24"/>
        </w:rPr>
        <w:t>转入基金份额类别</w:t>
      </w:r>
      <w:r>
        <w:rPr>
          <w:rFonts w:ascii="宋体" w:hAnsi="宋体"/>
          <w:sz w:val="24"/>
          <w:szCs w:val="24"/>
        </w:rPr>
        <w:t>固定申购费用</w:t>
      </w:r>
    </w:p>
    <w:p w:rsidR="000C2861" w:rsidRDefault="003A6D18">
      <w:pPr>
        <w:widowControl/>
        <w:spacing w:line="360" w:lineRule="auto"/>
        <w:ind w:firstLineChars="200" w:firstLine="480"/>
        <w:jc w:val="left"/>
        <w:rPr>
          <w:rFonts w:ascii="宋体" w:hAnsi="宋体"/>
          <w:sz w:val="24"/>
          <w:szCs w:val="24"/>
        </w:rPr>
      </w:pPr>
      <w:r>
        <w:rPr>
          <w:rFonts w:ascii="宋体" w:hAnsi="宋体" w:hint="eastAsia"/>
          <w:sz w:val="24"/>
          <w:szCs w:val="24"/>
        </w:rPr>
        <w:t>转出基金份额类别申购费</w:t>
      </w:r>
      <w:r>
        <w:rPr>
          <w:rFonts w:ascii="宋体" w:hAnsi="宋体" w:hint="eastAsia"/>
          <w:sz w:val="24"/>
          <w:szCs w:val="24"/>
        </w:rPr>
        <w:t>=</w:t>
      </w:r>
      <w:r>
        <w:rPr>
          <w:rFonts w:ascii="宋体" w:hAnsi="宋体" w:hint="eastAsia"/>
          <w:sz w:val="24"/>
          <w:szCs w:val="24"/>
        </w:rPr>
        <w:t>转入金额×转出基金份额类别申购费率</w:t>
      </w:r>
      <w:r>
        <w:rPr>
          <w:rFonts w:ascii="宋体" w:hAnsi="宋体" w:hint="eastAsia"/>
          <w:sz w:val="24"/>
          <w:szCs w:val="24"/>
        </w:rPr>
        <w:t>/(1+</w:t>
      </w:r>
      <w:r>
        <w:rPr>
          <w:rFonts w:ascii="宋体" w:hAnsi="宋体" w:hint="eastAsia"/>
          <w:sz w:val="24"/>
          <w:szCs w:val="24"/>
        </w:rPr>
        <w:t>转出基金份额类别申购费率</w:t>
      </w:r>
      <w:r>
        <w:rPr>
          <w:rFonts w:ascii="宋体" w:hAnsi="宋体" w:hint="eastAsia"/>
          <w:sz w:val="24"/>
          <w:szCs w:val="24"/>
        </w:rPr>
        <w:t>)</w:t>
      </w:r>
    </w:p>
    <w:p w:rsidR="000C2861" w:rsidRDefault="003A6D18">
      <w:pPr>
        <w:widowControl/>
        <w:spacing w:line="360" w:lineRule="auto"/>
        <w:ind w:firstLineChars="200" w:firstLine="480"/>
        <w:jc w:val="left"/>
        <w:rPr>
          <w:rFonts w:ascii="宋体" w:hAnsi="宋体"/>
          <w:sz w:val="24"/>
          <w:szCs w:val="24"/>
        </w:rPr>
      </w:pPr>
      <w:r>
        <w:rPr>
          <w:rFonts w:ascii="宋体" w:hAnsi="宋体"/>
          <w:sz w:val="24"/>
          <w:szCs w:val="24"/>
        </w:rPr>
        <w:t>对于适用固定金额申购费率的</w:t>
      </w:r>
      <w:r>
        <w:rPr>
          <w:rFonts w:ascii="宋体" w:hAnsi="宋体" w:hint="eastAsia"/>
          <w:sz w:val="24"/>
          <w:szCs w:val="24"/>
        </w:rPr>
        <w:t>转出申请</w:t>
      </w:r>
      <w:r>
        <w:rPr>
          <w:rFonts w:ascii="宋体" w:hAnsi="宋体"/>
          <w:sz w:val="24"/>
          <w:szCs w:val="24"/>
        </w:rPr>
        <w:t>，</w:t>
      </w:r>
      <w:r>
        <w:rPr>
          <w:rFonts w:ascii="宋体" w:hAnsi="宋体" w:hint="eastAsia"/>
          <w:sz w:val="24"/>
          <w:szCs w:val="24"/>
        </w:rPr>
        <w:t>转</w:t>
      </w:r>
      <w:r>
        <w:rPr>
          <w:rFonts w:ascii="宋体" w:hAnsi="宋体" w:hint="eastAsia"/>
          <w:sz w:val="24"/>
          <w:szCs w:val="24"/>
        </w:rPr>
        <w:t>出</w:t>
      </w:r>
      <w:r>
        <w:rPr>
          <w:rFonts w:ascii="宋体" w:hAnsi="宋体" w:hint="eastAsia"/>
          <w:sz w:val="24"/>
          <w:szCs w:val="24"/>
        </w:rPr>
        <w:t>基金份额类别申购费</w:t>
      </w:r>
      <w:r>
        <w:rPr>
          <w:rFonts w:ascii="宋体" w:hAnsi="宋体"/>
          <w:sz w:val="24"/>
          <w:szCs w:val="24"/>
        </w:rPr>
        <w:t>=</w:t>
      </w:r>
      <w:r>
        <w:rPr>
          <w:rFonts w:ascii="宋体" w:hAnsi="宋体" w:hint="eastAsia"/>
          <w:sz w:val="24"/>
          <w:szCs w:val="24"/>
        </w:rPr>
        <w:t>转出基金份额类别</w:t>
      </w:r>
      <w:r>
        <w:rPr>
          <w:rFonts w:ascii="宋体" w:hAnsi="宋体"/>
          <w:sz w:val="24"/>
          <w:szCs w:val="24"/>
        </w:rPr>
        <w:t>固定申购费用</w:t>
      </w:r>
    </w:p>
    <w:p w:rsidR="000C2861" w:rsidRDefault="003A6D18">
      <w:pPr>
        <w:widowControl/>
        <w:spacing w:line="360" w:lineRule="auto"/>
        <w:ind w:firstLineChars="200" w:firstLine="480"/>
        <w:jc w:val="left"/>
        <w:rPr>
          <w:rFonts w:ascii="宋体" w:hAnsi="宋体"/>
          <w:sz w:val="24"/>
          <w:szCs w:val="24"/>
        </w:rPr>
      </w:pPr>
      <w:r>
        <w:rPr>
          <w:rFonts w:ascii="宋体" w:hAnsi="宋体" w:hint="eastAsia"/>
          <w:sz w:val="24"/>
          <w:szCs w:val="24"/>
        </w:rPr>
        <w:t>申购补差费用</w:t>
      </w:r>
      <w:r>
        <w:rPr>
          <w:rFonts w:ascii="宋体" w:hAnsi="宋体" w:hint="eastAsia"/>
          <w:sz w:val="24"/>
          <w:szCs w:val="24"/>
        </w:rPr>
        <w:t>=</w:t>
      </w:r>
      <w:r>
        <w:rPr>
          <w:rFonts w:ascii="宋体" w:hAnsi="宋体" w:hint="eastAsia"/>
          <w:sz w:val="24"/>
          <w:szCs w:val="24"/>
        </w:rPr>
        <w:t>转入基金份额类别申购费</w:t>
      </w:r>
      <w:r>
        <w:rPr>
          <w:rFonts w:ascii="宋体" w:hAnsi="宋体" w:hint="eastAsia"/>
          <w:sz w:val="24"/>
          <w:szCs w:val="24"/>
        </w:rPr>
        <w:t>-</w:t>
      </w:r>
      <w:r>
        <w:rPr>
          <w:rFonts w:ascii="宋体" w:hAnsi="宋体" w:hint="eastAsia"/>
          <w:sz w:val="24"/>
          <w:szCs w:val="24"/>
        </w:rPr>
        <w:t>转出基金份额类别申购费，如计算所得申购补差费用小于</w:t>
      </w:r>
      <w:r>
        <w:rPr>
          <w:rFonts w:ascii="宋体" w:hAnsi="宋体" w:hint="eastAsia"/>
          <w:sz w:val="24"/>
          <w:szCs w:val="24"/>
        </w:rPr>
        <w:t>0</w:t>
      </w:r>
      <w:r>
        <w:rPr>
          <w:rFonts w:ascii="宋体" w:hAnsi="宋体" w:hint="eastAsia"/>
          <w:sz w:val="24"/>
          <w:szCs w:val="24"/>
        </w:rPr>
        <w:t>，则申购补差费用为</w:t>
      </w:r>
      <w:r>
        <w:rPr>
          <w:rFonts w:ascii="宋体" w:hAnsi="宋体" w:hint="eastAsia"/>
          <w:sz w:val="24"/>
          <w:szCs w:val="24"/>
        </w:rPr>
        <w:t>0</w:t>
      </w:r>
    </w:p>
    <w:p w:rsidR="000C2861" w:rsidRDefault="003A6D18">
      <w:pPr>
        <w:widowControl/>
        <w:spacing w:line="360" w:lineRule="auto"/>
        <w:ind w:firstLineChars="200" w:firstLine="480"/>
        <w:jc w:val="left"/>
        <w:rPr>
          <w:rFonts w:ascii="宋体" w:hAnsi="宋体"/>
          <w:sz w:val="24"/>
          <w:szCs w:val="24"/>
        </w:rPr>
      </w:pPr>
      <w:r>
        <w:rPr>
          <w:rFonts w:ascii="宋体" w:hAnsi="宋体" w:hint="eastAsia"/>
          <w:sz w:val="24"/>
          <w:szCs w:val="24"/>
        </w:rPr>
        <w:t>净转入金额</w:t>
      </w:r>
      <w:r>
        <w:rPr>
          <w:rFonts w:ascii="宋体" w:hAnsi="宋体" w:hint="eastAsia"/>
          <w:sz w:val="24"/>
          <w:szCs w:val="24"/>
        </w:rPr>
        <w:t>=</w:t>
      </w:r>
      <w:r>
        <w:rPr>
          <w:rFonts w:ascii="宋体" w:hAnsi="宋体" w:hint="eastAsia"/>
          <w:sz w:val="24"/>
          <w:szCs w:val="24"/>
        </w:rPr>
        <w:t>转出金额</w:t>
      </w:r>
      <w:r>
        <w:rPr>
          <w:rFonts w:ascii="宋体" w:hAnsi="宋体" w:hint="eastAsia"/>
          <w:sz w:val="24"/>
          <w:szCs w:val="24"/>
        </w:rPr>
        <w:t>-</w:t>
      </w:r>
      <w:r>
        <w:rPr>
          <w:rFonts w:ascii="宋体" w:hAnsi="宋体" w:hint="eastAsia"/>
          <w:sz w:val="24"/>
          <w:szCs w:val="24"/>
        </w:rPr>
        <w:t>转换费用</w:t>
      </w:r>
    </w:p>
    <w:p w:rsidR="000C2861" w:rsidRDefault="003A6D18">
      <w:pPr>
        <w:widowControl/>
        <w:spacing w:line="360" w:lineRule="auto"/>
        <w:ind w:firstLineChars="200" w:firstLine="480"/>
        <w:jc w:val="left"/>
        <w:rPr>
          <w:rFonts w:ascii="宋体" w:hAnsi="宋体"/>
          <w:sz w:val="24"/>
          <w:szCs w:val="24"/>
        </w:rPr>
      </w:pPr>
      <w:r>
        <w:rPr>
          <w:rFonts w:ascii="宋体" w:hAnsi="宋体" w:hint="eastAsia"/>
          <w:sz w:val="24"/>
          <w:szCs w:val="24"/>
        </w:rPr>
        <w:t>转入份额</w:t>
      </w:r>
      <w:r>
        <w:rPr>
          <w:rFonts w:ascii="宋体" w:hAnsi="宋体" w:hint="eastAsia"/>
          <w:sz w:val="24"/>
          <w:szCs w:val="24"/>
        </w:rPr>
        <w:t>=</w:t>
      </w:r>
      <w:r>
        <w:rPr>
          <w:rFonts w:ascii="宋体" w:hAnsi="宋体" w:hint="eastAsia"/>
          <w:sz w:val="24"/>
          <w:szCs w:val="24"/>
        </w:rPr>
        <w:t>净转入金额</w:t>
      </w:r>
      <w:r>
        <w:rPr>
          <w:rFonts w:ascii="宋体" w:hAnsi="宋体" w:hint="eastAsia"/>
          <w:sz w:val="24"/>
          <w:szCs w:val="24"/>
        </w:rPr>
        <w:t>/</w:t>
      </w:r>
      <w:r>
        <w:rPr>
          <w:rFonts w:ascii="宋体" w:hAnsi="宋体" w:hint="eastAsia"/>
          <w:sz w:val="24"/>
          <w:szCs w:val="24"/>
        </w:rPr>
        <w:t>转入基金份额类别</w:t>
      </w:r>
      <w:r>
        <w:rPr>
          <w:rFonts w:ascii="宋体" w:hAnsi="宋体" w:hint="eastAsia"/>
          <w:sz w:val="24"/>
          <w:szCs w:val="24"/>
        </w:rPr>
        <w:t>转入申请当日的</w:t>
      </w:r>
      <w:r>
        <w:rPr>
          <w:rFonts w:ascii="宋体" w:hAnsi="宋体" w:hint="eastAsia"/>
          <w:sz w:val="24"/>
          <w:szCs w:val="24"/>
        </w:rPr>
        <w:t>基金</w:t>
      </w:r>
      <w:r>
        <w:rPr>
          <w:rFonts w:ascii="宋体" w:hAnsi="宋体" w:hint="eastAsia"/>
          <w:sz w:val="24"/>
          <w:szCs w:val="24"/>
        </w:rPr>
        <w:t>份额</w:t>
      </w:r>
      <w:r>
        <w:rPr>
          <w:rFonts w:ascii="宋体" w:hAnsi="宋体" w:hint="eastAsia"/>
          <w:sz w:val="24"/>
          <w:szCs w:val="24"/>
        </w:rPr>
        <w:t>净值</w:t>
      </w:r>
    </w:p>
    <w:p w:rsidR="000C2861" w:rsidRDefault="003A6D18">
      <w:pPr>
        <w:widowControl/>
        <w:spacing w:line="360" w:lineRule="auto"/>
        <w:ind w:firstLineChars="200" w:firstLine="480"/>
        <w:jc w:val="left"/>
        <w:rPr>
          <w:rFonts w:ascii="宋体" w:hAnsi="宋体"/>
          <w:sz w:val="24"/>
          <w:szCs w:val="24"/>
        </w:rPr>
      </w:pPr>
      <w:r>
        <w:rPr>
          <w:rFonts w:ascii="宋体" w:hAnsi="宋体" w:hint="eastAsia"/>
          <w:sz w:val="24"/>
          <w:szCs w:val="24"/>
        </w:rPr>
        <w:lastRenderedPageBreak/>
        <w:t>转入份额按照四舍五入方法保留到小数点后两位，由此产生的收益或损失由基金资产承担。</w:t>
      </w:r>
    </w:p>
    <w:p w:rsidR="000C2861" w:rsidRDefault="003A6D18">
      <w:pPr>
        <w:pStyle w:val="dazhangjie"/>
        <w:numPr>
          <w:ilvl w:val="0"/>
          <w:numId w:val="2"/>
        </w:numPr>
        <w:ind w:firstLineChars="200" w:firstLine="482"/>
        <w:rPr>
          <w:b/>
          <w:bCs/>
        </w:rPr>
      </w:pPr>
      <w:r>
        <w:rPr>
          <w:rFonts w:hint="eastAsia"/>
          <w:b/>
          <w:bCs/>
        </w:rPr>
        <w:t>业务办理时间</w:t>
      </w:r>
    </w:p>
    <w:p w:rsidR="000C2861" w:rsidRDefault="003A6D18">
      <w:pPr>
        <w:widowControl/>
        <w:spacing w:line="360" w:lineRule="auto"/>
        <w:ind w:firstLineChars="200" w:firstLine="480"/>
        <w:jc w:val="left"/>
        <w:rPr>
          <w:rFonts w:ascii="宋体" w:hAnsi="宋体"/>
          <w:sz w:val="24"/>
          <w:szCs w:val="24"/>
        </w:rPr>
      </w:pPr>
      <w:r>
        <w:rPr>
          <w:rFonts w:ascii="宋体" w:hAnsi="宋体" w:hint="eastAsia"/>
          <w:sz w:val="24"/>
          <w:szCs w:val="24"/>
        </w:rPr>
        <w:t>投资者在开放日办理</w:t>
      </w:r>
      <w:r>
        <w:rPr>
          <w:rFonts w:ascii="宋体" w:hAnsi="宋体" w:hint="eastAsia"/>
          <w:sz w:val="24"/>
          <w:szCs w:val="24"/>
        </w:rPr>
        <w:t>本</w:t>
      </w:r>
      <w:r>
        <w:rPr>
          <w:rFonts w:ascii="宋体" w:hAnsi="宋体" w:hint="eastAsia"/>
          <w:sz w:val="24"/>
          <w:szCs w:val="24"/>
        </w:rPr>
        <w:t>业务，具体办理时间</w:t>
      </w:r>
      <w:r>
        <w:rPr>
          <w:rFonts w:ascii="宋体" w:hAnsi="宋体" w:hint="eastAsia"/>
          <w:sz w:val="24"/>
          <w:szCs w:val="24"/>
        </w:rPr>
        <w:t>遵循</w:t>
      </w:r>
      <w:r>
        <w:rPr>
          <w:rFonts w:ascii="宋体" w:hAnsi="宋体" w:hint="eastAsia"/>
          <w:sz w:val="24"/>
          <w:szCs w:val="24"/>
        </w:rPr>
        <w:t>本基金的基金合同</w:t>
      </w:r>
      <w:r>
        <w:rPr>
          <w:rFonts w:ascii="宋体" w:hAnsi="宋体" w:hint="eastAsia"/>
          <w:sz w:val="24"/>
          <w:szCs w:val="24"/>
        </w:rPr>
        <w:t>及</w:t>
      </w:r>
      <w:r>
        <w:rPr>
          <w:rFonts w:ascii="宋体" w:hAnsi="宋体" w:hint="eastAsia"/>
          <w:sz w:val="24"/>
          <w:szCs w:val="24"/>
        </w:rPr>
        <w:t>招募说明书中关于开放日及开放时间的相关规定，但基金管理人根据法律法规、中国证监会的要求或基金合同的规定公告暂停</w:t>
      </w:r>
      <w:r>
        <w:rPr>
          <w:rFonts w:ascii="宋体" w:hAnsi="宋体" w:hint="eastAsia"/>
          <w:sz w:val="24"/>
          <w:szCs w:val="24"/>
        </w:rPr>
        <w:t>上述</w:t>
      </w:r>
      <w:r>
        <w:rPr>
          <w:rFonts w:ascii="宋体" w:hAnsi="宋体" w:hint="eastAsia"/>
          <w:sz w:val="24"/>
          <w:szCs w:val="24"/>
        </w:rPr>
        <w:t>基金</w:t>
      </w:r>
      <w:r>
        <w:rPr>
          <w:rFonts w:ascii="宋体" w:hAnsi="宋体" w:hint="eastAsia"/>
          <w:sz w:val="24"/>
          <w:szCs w:val="24"/>
        </w:rPr>
        <w:t>份额之间的</w:t>
      </w:r>
      <w:r>
        <w:rPr>
          <w:rFonts w:ascii="宋体" w:hAnsi="宋体" w:hint="eastAsia"/>
          <w:sz w:val="24"/>
          <w:szCs w:val="24"/>
        </w:rPr>
        <w:t>转换</w:t>
      </w:r>
      <w:r>
        <w:rPr>
          <w:rFonts w:ascii="宋体" w:hAnsi="宋体" w:hint="eastAsia"/>
          <w:sz w:val="24"/>
          <w:szCs w:val="24"/>
        </w:rPr>
        <w:t>业务</w:t>
      </w:r>
      <w:r>
        <w:rPr>
          <w:rFonts w:ascii="宋体" w:hAnsi="宋体" w:hint="eastAsia"/>
          <w:sz w:val="24"/>
          <w:szCs w:val="24"/>
        </w:rPr>
        <w:t>时除外。</w:t>
      </w:r>
    </w:p>
    <w:p w:rsidR="000C2861" w:rsidRDefault="003A6D18">
      <w:pPr>
        <w:widowControl/>
        <w:spacing w:line="360" w:lineRule="auto"/>
        <w:ind w:firstLineChars="200" w:firstLine="480"/>
        <w:jc w:val="left"/>
        <w:rPr>
          <w:rFonts w:ascii="宋体" w:hAnsi="宋体"/>
          <w:sz w:val="24"/>
          <w:szCs w:val="24"/>
        </w:rPr>
      </w:pPr>
      <w:r>
        <w:rPr>
          <w:rFonts w:ascii="宋体" w:hAnsi="宋体" w:hint="eastAsia"/>
          <w:sz w:val="24"/>
          <w:szCs w:val="24"/>
        </w:rPr>
        <w:t>敬请投资者在办理本业务前详细了解业务规则、费率及持有期计算等事宜，本公司可以根据市场情况在不违反有关法律法规和基金合同规定的前提下调整业务规则及有关限制。</w:t>
      </w:r>
    </w:p>
    <w:p w:rsidR="000C2861" w:rsidRDefault="003A6D18">
      <w:pPr>
        <w:pStyle w:val="dazhangjie"/>
        <w:ind w:firstLineChars="200" w:firstLine="482"/>
      </w:pPr>
      <w:r>
        <w:rPr>
          <w:rFonts w:hint="eastAsia"/>
          <w:b/>
          <w:bCs/>
        </w:rPr>
        <w:t>五、</w:t>
      </w:r>
      <w:r>
        <w:rPr>
          <w:rFonts w:hint="eastAsia"/>
          <w:b/>
          <w:bCs/>
        </w:rPr>
        <w:t>其他需要提示的事项</w:t>
      </w:r>
    </w:p>
    <w:p w:rsidR="000C2861" w:rsidRDefault="003A6D18">
      <w:pPr>
        <w:pStyle w:val="neirong"/>
        <w:ind w:firstLineChars="200" w:firstLine="480"/>
      </w:pPr>
      <w:r>
        <w:rPr>
          <w:rFonts w:hint="eastAsia"/>
        </w:rPr>
        <w:t>本公司若暂停办理本业务，将另行发布公告。投资者欲了解本基金的详细情况，请仔细阅读基金管理人网站（</w:t>
      </w:r>
      <w:r>
        <w:rPr>
          <w:rFonts w:hint="eastAsia"/>
        </w:rPr>
        <w:t>www.cjzcgl.com</w:t>
      </w:r>
      <w:r>
        <w:rPr>
          <w:rFonts w:hint="eastAsia"/>
        </w:rPr>
        <w:t>）发布的本基金的法律文件及相关公告，或拨打本公司客户服务热线（</w:t>
      </w:r>
      <w:r>
        <w:rPr>
          <w:rFonts w:hint="eastAsia"/>
        </w:rPr>
        <w:t>4001-166-866</w:t>
      </w:r>
      <w:r>
        <w:rPr>
          <w:rFonts w:hint="eastAsia"/>
        </w:rPr>
        <w:t>）咨询相关信息。</w:t>
      </w:r>
      <w:r>
        <w:rPr>
          <w:rFonts w:hint="eastAsia"/>
        </w:rPr>
        <w:br/>
      </w:r>
      <w:r>
        <w:rPr>
          <w:rFonts w:hint="eastAsia"/>
        </w:rPr>
        <w:t>  </w:t>
      </w:r>
      <w:r>
        <w:rPr>
          <w:rFonts w:hint="eastAsia"/>
        </w:rPr>
        <w:t>风险提示：基金管理人承诺以诚实信用、勤勉尽责的原则管理和运用基金财产，但不保证基金一定盈利，也不保证最低收益。基金的过往业绩并不代表其将来表现，基金管理人所管理的其他基金的业绩并不构成对本基金业绩表现的保证。</w:t>
      </w:r>
      <w:r>
        <w:rPr>
          <w:rFonts w:hint="eastAsia"/>
        </w:rPr>
        <w:t>投资者投资基金前应认真阅读基金合同、招募说明书、基金产品资料概要等法律文件，了解所投资基金的风险收益特征，并根据自身情况购买与本人风险承受能力相匹配的产品。敬请投资者注意投资风险</w:t>
      </w:r>
      <w:r>
        <w:rPr>
          <w:rFonts w:hint="eastAsia"/>
        </w:rPr>
        <w:t>。</w:t>
      </w:r>
      <w:r>
        <w:rPr>
          <w:rFonts w:hint="eastAsia"/>
        </w:rPr>
        <w:br/>
      </w:r>
      <w:r>
        <w:rPr>
          <w:rFonts w:hint="eastAsia"/>
        </w:rPr>
        <w:t>  </w:t>
      </w:r>
      <w:r>
        <w:rPr>
          <w:rFonts w:hint="eastAsia"/>
        </w:rPr>
        <w:t>特此公告。</w:t>
      </w:r>
    </w:p>
    <w:p w:rsidR="000C2861" w:rsidRDefault="000C2861">
      <w:pPr>
        <w:widowControl/>
        <w:jc w:val="left"/>
        <w:rPr>
          <w:rFonts w:ascii="宋体" w:hAnsi="宋体"/>
          <w:sz w:val="24"/>
          <w:szCs w:val="24"/>
        </w:rPr>
      </w:pPr>
    </w:p>
    <w:p w:rsidR="000C2861" w:rsidRDefault="000C2861">
      <w:pPr>
        <w:pStyle w:val="biaogeright"/>
        <w:rPr>
          <w:rFonts w:hAnsi="Calibri"/>
          <w:color w:val="000000"/>
        </w:rPr>
      </w:pPr>
    </w:p>
    <w:p w:rsidR="000C2861" w:rsidRDefault="003A6D18">
      <w:pPr>
        <w:pStyle w:val="biaogeright"/>
      </w:pPr>
      <w:r>
        <w:rPr>
          <w:rFonts w:hAnsi="Calibri" w:hint="eastAsia"/>
          <w:color w:val="000000"/>
        </w:rPr>
        <w:t>长江证券（上海）资产管理有限公司</w:t>
      </w:r>
    </w:p>
    <w:p w:rsidR="000C2861" w:rsidRDefault="003A6D18">
      <w:pPr>
        <w:pStyle w:val="biaogeright"/>
      </w:pPr>
      <w:r>
        <w:rPr>
          <w:rFonts w:hAnsi="Calibri" w:hint="eastAsia"/>
          <w:color w:val="000000"/>
        </w:rPr>
        <w:t>202</w:t>
      </w:r>
      <w:r>
        <w:rPr>
          <w:rFonts w:hAnsi="Calibri" w:hint="eastAsia"/>
          <w:color w:val="000000"/>
        </w:rPr>
        <w:t>5</w:t>
      </w:r>
      <w:r>
        <w:rPr>
          <w:rFonts w:hAnsi="Calibri" w:hint="eastAsia"/>
          <w:color w:val="000000"/>
        </w:rPr>
        <w:t>年</w:t>
      </w:r>
      <w:r>
        <w:rPr>
          <w:rFonts w:hAnsi="Calibri" w:hint="eastAsia"/>
          <w:color w:val="000000"/>
        </w:rPr>
        <w:t>12</w:t>
      </w:r>
      <w:r>
        <w:rPr>
          <w:rFonts w:hAnsi="Calibri" w:hint="eastAsia"/>
          <w:color w:val="000000"/>
        </w:rPr>
        <w:t>月</w:t>
      </w:r>
      <w:r>
        <w:rPr>
          <w:rFonts w:hAnsi="Calibri" w:hint="eastAsia"/>
          <w:color w:val="000000"/>
        </w:rPr>
        <w:t>19</w:t>
      </w:r>
      <w:r>
        <w:rPr>
          <w:rFonts w:hAnsi="Calibri" w:hint="eastAsia"/>
          <w:color w:val="000000"/>
        </w:rPr>
        <w:t>日</w:t>
      </w:r>
    </w:p>
    <w:sectPr w:rsidR="000C2861" w:rsidSect="000C2861">
      <w:headerReference w:type="default" r:id="rId7"/>
      <w:footerReference w:type="default" r:id="rId8"/>
      <w:pgSz w:w="11926" w:h="15840"/>
      <w:pgMar w:top="1418" w:right="1418" w:bottom="853" w:left="1418" w:header="850" w:footer="1020"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861" w:rsidRDefault="000C2861" w:rsidP="000C2861">
      <w:r>
        <w:separator/>
      </w:r>
    </w:p>
  </w:endnote>
  <w:endnote w:type="continuationSeparator" w:id="0">
    <w:p w:rsidR="000C2861" w:rsidRDefault="000C2861" w:rsidP="000C28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宋体.">
    <w:altName w:val="宋体"/>
    <w:charset w:val="86"/>
    <w:family w:val="roman"/>
    <w:pitch w:val="default"/>
    <w:sig w:usb0="00000000" w:usb1="00000000" w:usb2="0000000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861" w:rsidRDefault="000C2861">
    <w:pPr>
      <w:pStyle w:val="a5"/>
      <w:kinsoku w:val="0"/>
      <w:overflowPunct w:val="0"/>
      <w:ind w:left="0"/>
      <w:rPr>
        <w:rFonts w:hint="default"/>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861" w:rsidRDefault="000C2861" w:rsidP="000C2861">
      <w:r>
        <w:separator/>
      </w:r>
    </w:p>
  </w:footnote>
  <w:footnote w:type="continuationSeparator" w:id="0">
    <w:p w:rsidR="000C2861" w:rsidRDefault="000C2861" w:rsidP="000C28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861" w:rsidRDefault="000C2861">
    <w:pPr>
      <w:pBdr>
        <w:top w:val="none" w:sz="0" w:space="1" w:color="auto"/>
        <w:left w:val="none" w:sz="0" w:space="4" w:color="auto"/>
        <w:bottom w:val="none" w:sz="0" w:space="1" w:color="auto"/>
        <w:right w:val="none" w:sz="0" w:space="4" w:color="auto"/>
      </w:pBdr>
      <w:rPr>
        <w:sz w:val="20"/>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FF363E"/>
    <w:multiLevelType w:val="singleLevel"/>
    <w:tmpl w:val="B0FF363E"/>
    <w:lvl w:ilvl="0">
      <w:start w:val="4"/>
      <w:numFmt w:val="chineseCounting"/>
      <w:suff w:val="nothing"/>
      <w:lvlText w:val="%1、"/>
      <w:lvlJc w:val="left"/>
      <w:rPr>
        <w:rFonts w:hint="eastAsia"/>
      </w:rPr>
    </w:lvl>
  </w:abstractNum>
  <w:abstractNum w:abstractNumId="1">
    <w:nsid w:val="2AFDBDCA"/>
    <w:multiLevelType w:val="singleLevel"/>
    <w:tmpl w:val="2AFDBDCA"/>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trackRevisions/>
  <w:defaultTabStop w:val="720"/>
  <w:noPunctuationKerning/>
  <w:characterSpacingControl w:val="compressPunctuation"/>
  <w:footnotePr>
    <w:footnote w:id="-1"/>
    <w:footnote w:id="0"/>
  </w:footnotePr>
  <w:endnotePr>
    <w:endnote w:id="-1"/>
    <w:endnote w:id="0"/>
  </w:endnotePr>
  <w:compat>
    <w:doNotExpandShiftReturn/>
    <w:useFELayout/>
  </w:compat>
  <w:rsids>
    <w:rsidRoot w:val="00172A27"/>
    <w:rsid w:val="000C2861"/>
    <w:rsid w:val="00172A27"/>
    <w:rsid w:val="003A6D18"/>
    <w:rsid w:val="00A908C2"/>
    <w:rsid w:val="00D4641B"/>
    <w:rsid w:val="00D54E5C"/>
    <w:rsid w:val="02711360"/>
    <w:rsid w:val="03655396"/>
    <w:rsid w:val="03793EC1"/>
    <w:rsid w:val="052579FC"/>
    <w:rsid w:val="08BD7BB8"/>
    <w:rsid w:val="09447441"/>
    <w:rsid w:val="096A687C"/>
    <w:rsid w:val="09A349F1"/>
    <w:rsid w:val="09BE3325"/>
    <w:rsid w:val="0C171688"/>
    <w:rsid w:val="0D3C1F2E"/>
    <w:rsid w:val="0E2F5F4F"/>
    <w:rsid w:val="11A142DD"/>
    <w:rsid w:val="1423559E"/>
    <w:rsid w:val="16104622"/>
    <w:rsid w:val="18783B52"/>
    <w:rsid w:val="1C1C0201"/>
    <w:rsid w:val="1DC4240B"/>
    <w:rsid w:val="20F508FD"/>
    <w:rsid w:val="22BA06CA"/>
    <w:rsid w:val="28E57B46"/>
    <w:rsid w:val="2A6A5D88"/>
    <w:rsid w:val="2A932366"/>
    <w:rsid w:val="2E7E61AC"/>
    <w:rsid w:val="3020329A"/>
    <w:rsid w:val="336F39EE"/>
    <w:rsid w:val="33CB3DC2"/>
    <w:rsid w:val="34501960"/>
    <w:rsid w:val="3C336580"/>
    <w:rsid w:val="3CA13634"/>
    <w:rsid w:val="3D58568A"/>
    <w:rsid w:val="416A4683"/>
    <w:rsid w:val="42C04637"/>
    <w:rsid w:val="45407E08"/>
    <w:rsid w:val="4A274EC0"/>
    <w:rsid w:val="4C202435"/>
    <w:rsid w:val="4CD47731"/>
    <w:rsid w:val="4DF97F11"/>
    <w:rsid w:val="4E2224B1"/>
    <w:rsid w:val="4F866DC4"/>
    <w:rsid w:val="55527A55"/>
    <w:rsid w:val="56A90C8A"/>
    <w:rsid w:val="5AFC4393"/>
    <w:rsid w:val="5C210214"/>
    <w:rsid w:val="5C7E6BEF"/>
    <w:rsid w:val="60841293"/>
    <w:rsid w:val="613F54B1"/>
    <w:rsid w:val="64201CD2"/>
    <w:rsid w:val="643136FC"/>
    <w:rsid w:val="65F251CE"/>
    <w:rsid w:val="668B3E76"/>
    <w:rsid w:val="67FB1823"/>
    <w:rsid w:val="6BE15A2D"/>
    <w:rsid w:val="6C124304"/>
    <w:rsid w:val="6C6D3413"/>
    <w:rsid w:val="6DAA1F76"/>
    <w:rsid w:val="703B30D4"/>
    <w:rsid w:val="71A60A24"/>
    <w:rsid w:val="72B41BE2"/>
    <w:rsid w:val="73223262"/>
    <w:rsid w:val="764F0B68"/>
    <w:rsid w:val="77097AE0"/>
    <w:rsid w:val="77983CC0"/>
    <w:rsid w:val="79D3290E"/>
    <w:rsid w:val="7A0D24C8"/>
    <w:rsid w:val="7B46728F"/>
    <w:rsid w:val="7EA531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uiPriority="1" w:qFormat="1"/>
    <w:lsdException w:name="Subtitle" w:semiHidden="0" w:uiPriority="11" w:unhideWhenUsed="0" w:qFormat="1"/>
    <w:lsdException w:name="Note Heading"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861"/>
    <w:pPr>
      <w:widowControl w:val="0"/>
      <w:jc w:val="both"/>
    </w:pPr>
    <w:rPr>
      <w:rFonts w:cs="宋体"/>
      <w:sz w:val="28"/>
      <w:szCs w:val="28"/>
    </w:rPr>
  </w:style>
  <w:style w:type="paragraph" w:styleId="1">
    <w:name w:val="heading 1"/>
    <w:basedOn w:val="a"/>
    <w:next w:val="a"/>
    <w:uiPriority w:val="9"/>
    <w:qFormat/>
    <w:rsid w:val="000C2861"/>
    <w:pPr>
      <w:spacing w:before="100" w:beforeAutospacing="1" w:after="100" w:afterAutospacing="1"/>
      <w:jc w:val="left"/>
      <w:outlineLvl w:val="0"/>
    </w:pPr>
    <w:rPr>
      <w:rFonts w:ascii="宋体" w:hAnsi="宋体" w:cs="Times New Roman" w:hint="eastAsia"/>
      <w:b/>
      <w:bCs/>
      <w:kern w:val="44"/>
      <w:sz w:val="48"/>
      <w:szCs w:val="48"/>
    </w:rPr>
  </w:style>
  <w:style w:type="paragraph" w:styleId="2">
    <w:name w:val="heading 2"/>
    <w:basedOn w:val="a"/>
    <w:uiPriority w:val="9"/>
    <w:unhideWhenUsed/>
    <w:qFormat/>
    <w:rsid w:val="000C2861"/>
    <w:pPr>
      <w:spacing w:before="100" w:beforeAutospacing="1" w:after="100" w:afterAutospacing="1"/>
      <w:jc w:val="left"/>
      <w:outlineLvl w:val="1"/>
    </w:pPr>
    <w:rPr>
      <w:rFonts w:ascii="宋体" w:hAnsi="宋体" w:cs="Times New Roman" w:hint="eastAs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uiPriority w:val="99"/>
    <w:unhideWhenUsed/>
    <w:qFormat/>
    <w:rsid w:val="000C2861"/>
    <w:pPr>
      <w:jc w:val="center"/>
    </w:pPr>
  </w:style>
  <w:style w:type="paragraph" w:styleId="a4">
    <w:name w:val="annotation text"/>
    <w:basedOn w:val="a"/>
    <w:uiPriority w:val="99"/>
    <w:unhideWhenUsed/>
    <w:qFormat/>
    <w:rsid w:val="000C2861"/>
    <w:pPr>
      <w:jc w:val="left"/>
    </w:pPr>
  </w:style>
  <w:style w:type="paragraph" w:styleId="a5">
    <w:name w:val="Body Text"/>
    <w:basedOn w:val="a"/>
    <w:uiPriority w:val="1"/>
    <w:unhideWhenUsed/>
    <w:qFormat/>
    <w:rsid w:val="000C2861"/>
    <w:pPr>
      <w:ind w:left="116"/>
    </w:pPr>
    <w:rPr>
      <w:rFonts w:hint="eastAsia"/>
      <w:sz w:val="24"/>
      <w:szCs w:val="24"/>
    </w:rPr>
  </w:style>
  <w:style w:type="paragraph" w:styleId="a6">
    <w:name w:val="footer"/>
    <w:basedOn w:val="a"/>
    <w:link w:val="Char"/>
    <w:uiPriority w:val="99"/>
    <w:unhideWhenUsed/>
    <w:qFormat/>
    <w:rsid w:val="000C2861"/>
    <w:pPr>
      <w:tabs>
        <w:tab w:val="center" w:pos="4153"/>
        <w:tab w:val="right" w:pos="8306"/>
      </w:tabs>
      <w:snapToGrid w:val="0"/>
      <w:jc w:val="left"/>
    </w:pPr>
    <w:rPr>
      <w:sz w:val="18"/>
      <w:szCs w:val="18"/>
    </w:rPr>
  </w:style>
  <w:style w:type="paragraph" w:styleId="a7">
    <w:name w:val="header"/>
    <w:basedOn w:val="a"/>
    <w:qFormat/>
    <w:rsid w:val="000C286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uiPriority w:val="59"/>
    <w:qFormat/>
    <w:rsid w:val="000C286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unhideWhenUsed/>
    <w:qFormat/>
    <w:rsid w:val="000C2861"/>
    <w:rPr>
      <w:color w:val="800080"/>
      <w:u w:val="single"/>
    </w:rPr>
  </w:style>
  <w:style w:type="character" w:customStyle="1" w:styleId="Char">
    <w:name w:val="页脚 Char"/>
    <w:link w:val="a6"/>
    <w:uiPriority w:val="99"/>
    <w:qFormat/>
    <w:locked/>
    <w:rsid w:val="000C2861"/>
    <w:rPr>
      <w:rFonts w:ascii="Times New Roman" w:hAnsi="Times New Roman" w:cs="Times New Roman" w:hint="default"/>
      <w:sz w:val="18"/>
      <w:szCs w:val="18"/>
    </w:rPr>
  </w:style>
  <w:style w:type="paragraph" w:customStyle="1" w:styleId="msonormalfy">
    <w:name w:val="msonormalfy"/>
    <w:qFormat/>
    <w:rsid w:val="000C2861"/>
    <w:pPr>
      <w:widowControl w:val="0"/>
      <w:jc w:val="center"/>
    </w:pPr>
    <w:rPr>
      <w:kern w:val="2"/>
      <w:sz w:val="33"/>
      <w:szCs w:val="22"/>
    </w:rPr>
  </w:style>
  <w:style w:type="paragraph" w:customStyle="1" w:styleId="msonormalnone">
    <w:name w:val="msonormal_none"/>
    <w:qFormat/>
    <w:rsid w:val="000C2861"/>
    <w:pPr>
      <w:widowControl w:val="0"/>
    </w:pPr>
    <w:rPr>
      <w:kern w:val="2"/>
      <w:sz w:val="21"/>
      <w:szCs w:val="22"/>
    </w:rPr>
  </w:style>
  <w:style w:type="paragraph" w:customStyle="1" w:styleId="msonormal1">
    <w:name w:val="msonormal1"/>
    <w:qFormat/>
    <w:rsid w:val="000C2861"/>
    <w:pPr>
      <w:widowControl w:val="0"/>
      <w:jc w:val="both"/>
    </w:pPr>
    <w:rPr>
      <w:kern w:val="2"/>
      <w:sz w:val="21"/>
      <w:szCs w:val="22"/>
    </w:rPr>
  </w:style>
  <w:style w:type="paragraph" w:customStyle="1" w:styleId="dazhangjie">
    <w:name w:val="dazhangjie"/>
    <w:basedOn w:val="a"/>
    <w:qFormat/>
    <w:rsid w:val="000C2861"/>
    <w:pPr>
      <w:widowControl/>
      <w:autoSpaceDE w:val="0"/>
      <w:autoSpaceDN w:val="0"/>
      <w:adjustRightInd w:val="0"/>
      <w:spacing w:before="30" w:line="288" w:lineRule="auto"/>
      <w:ind w:left="15"/>
      <w:jc w:val="left"/>
      <w:outlineLvl w:val="0"/>
    </w:pPr>
    <w:rPr>
      <w:rFonts w:ascii="宋体" w:hAnsi="宋体"/>
      <w:sz w:val="24"/>
      <w:szCs w:val="24"/>
    </w:rPr>
  </w:style>
  <w:style w:type="paragraph" w:customStyle="1" w:styleId="zhangjiep">
    <w:name w:val="zhangjie_p"/>
    <w:basedOn w:val="a"/>
    <w:qFormat/>
    <w:rsid w:val="000C2861"/>
    <w:pPr>
      <w:widowControl/>
      <w:autoSpaceDE w:val="0"/>
      <w:autoSpaceDN w:val="0"/>
      <w:adjustRightInd w:val="0"/>
      <w:spacing w:before="24" w:line="288" w:lineRule="auto"/>
      <w:ind w:left="15"/>
      <w:jc w:val="left"/>
      <w:outlineLvl w:val="1"/>
    </w:pPr>
    <w:rPr>
      <w:rFonts w:ascii="宋体" w:hAnsi="宋体"/>
      <w:sz w:val="24"/>
      <w:szCs w:val="24"/>
    </w:rPr>
  </w:style>
  <w:style w:type="paragraph" w:customStyle="1" w:styleId="zhangjiep2">
    <w:name w:val="zhangjie_p2"/>
    <w:basedOn w:val="a"/>
    <w:qFormat/>
    <w:rsid w:val="000C2861"/>
    <w:pPr>
      <w:widowControl/>
      <w:autoSpaceDE w:val="0"/>
      <w:autoSpaceDN w:val="0"/>
      <w:adjustRightInd w:val="0"/>
      <w:spacing w:before="24" w:line="288" w:lineRule="auto"/>
      <w:ind w:left="15"/>
      <w:jc w:val="left"/>
    </w:pPr>
    <w:rPr>
      <w:rFonts w:ascii="宋体" w:hAnsi="宋体"/>
      <w:sz w:val="24"/>
      <w:szCs w:val="24"/>
    </w:rPr>
  </w:style>
  <w:style w:type="paragraph" w:customStyle="1" w:styleId="zhongyaotishi">
    <w:name w:val="zhongyaotishi"/>
    <w:basedOn w:val="a"/>
    <w:qFormat/>
    <w:rsid w:val="000C2861"/>
    <w:pPr>
      <w:widowControl/>
      <w:autoSpaceDE w:val="0"/>
      <w:autoSpaceDN w:val="0"/>
      <w:adjustRightInd w:val="0"/>
      <w:spacing w:before="30" w:line="288" w:lineRule="auto"/>
      <w:ind w:left="15" w:firstLine="482"/>
      <w:jc w:val="left"/>
    </w:pPr>
    <w:rPr>
      <w:rFonts w:ascii="宋体" w:hAnsi="宋体"/>
      <w:sz w:val="24"/>
      <w:szCs w:val="24"/>
    </w:rPr>
  </w:style>
  <w:style w:type="paragraph" w:customStyle="1" w:styleId="biaogeleft">
    <w:name w:val="biaoge_left"/>
    <w:basedOn w:val="a"/>
    <w:qFormat/>
    <w:rsid w:val="000C2861"/>
    <w:pPr>
      <w:widowControl/>
      <w:autoSpaceDE w:val="0"/>
      <w:autoSpaceDN w:val="0"/>
      <w:adjustRightInd w:val="0"/>
      <w:spacing w:before="29" w:line="288" w:lineRule="auto"/>
      <w:ind w:left="15"/>
      <w:jc w:val="left"/>
    </w:pPr>
    <w:rPr>
      <w:rFonts w:ascii="宋体" w:hAnsi="宋体"/>
      <w:sz w:val="24"/>
      <w:szCs w:val="24"/>
    </w:rPr>
  </w:style>
  <w:style w:type="paragraph" w:customStyle="1" w:styleId="biaogecenter">
    <w:name w:val="biaoge_center"/>
    <w:basedOn w:val="a"/>
    <w:qFormat/>
    <w:rsid w:val="000C2861"/>
    <w:pPr>
      <w:widowControl/>
      <w:autoSpaceDE w:val="0"/>
      <w:autoSpaceDN w:val="0"/>
      <w:adjustRightInd w:val="0"/>
      <w:spacing w:before="29" w:line="288" w:lineRule="auto"/>
      <w:ind w:left="15"/>
      <w:jc w:val="center"/>
    </w:pPr>
    <w:rPr>
      <w:rFonts w:ascii="宋体" w:hAnsi="宋体"/>
      <w:sz w:val="24"/>
      <w:szCs w:val="24"/>
    </w:rPr>
  </w:style>
  <w:style w:type="paragraph" w:customStyle="1" w:styleId="biaogeright">
    <w:name w:val="biaoge_right"/>
    <w:basedOn w:val="a"/>
    <w:qFormat/>
    <w:rsid w:val="000C2861"/>
    <w:pPr>
      <w:widowControl/>
      <w:autoSpaceDE w:val="0"/>
      <w:autoSpaceDN w:val="0"/>
      <w:adjustRightInd w:val="0"/>
      <w:spacing w:before="29" w:line="288" w:lineRule="auto"/>
      <w:ind w:left="15"/>
      <w:jc w:val="right"/>
    </w:pPr>
    <w:rPr>
      <w:rFonts w:ascii="宋体" w:hAnsi="宋体"/>
      <w:sz w:val="24"/>
      <w:szCs w:val="24"/>
    </w:rPr>
  </w:style>
  <w:style w:type="paragraph" w:customStyle="1" w:styleId="neirong">
    <w:name w:val="neirong"/>
    <w:basedOn w:val="a"/>
    <w:qFormat/>
    <w:rsid w:val="000C2861"/>
    <w:pPr>
      <w:widowControl/>
      <w:autoSpaceDE w:val="0"/>
      <w:autoSpaceDN w:val="0"/>
      <w:adjustRightInd w:val="0"/>
      <w:spacing w:before="29" w:line="360" w:lineRule="auto"/>
      <w:ind w:left="15"/>
      <w:jc w:val="left"/>
    </w:pPr>
    <w:rPr>
      <w:rFonts w:ascii="宋体" w:hAnsi="宋体"/>
      <w:sz w:val="24"/>
      <w:szCs w:val="24"/>
    </w:rPr>
  </w:style>
  <w:style w:type="paragraph" w:customStyle="1" w:styleId="hide">
    <w:name w:val="hide"/>
    <w:basedOn w:val="a"/>
    <w:qFormat/>
    <w:rsid w:val="000C2861"/>
    <w:pPr>
      <w:widowControl/>
      <w:spacing w:before="100" w:beforeAutospacing="1" w:after="100" w:afterAutospacing="1"/>
      <w:jc w:val="left"/>
    </w:pPr>
    <w:rPr>
      <w:rFonts w:ascii="宋体" w:hAnsi="宋体"/>
      <w:vanish/>
      <w:sz w:val="24"/>
      <w:szCs w:val="24"/>
    </w:rPr>
  </w:style>
  <w:style w:type="paragraph" w:customStyle="1" w:styleId="show">
    <w:name w:val="show"/>
    <w:basedOn w:val="a"/>
    <w:qFormat/>
    <w:rsid w:val="000C2861"/>
    <w:pPr>
      <w:widowControl/>
      <w:spacing w:before="100" w:beforeAutospacing="1" w:after="100" w:afterAutospacing="1"/>
      <w:jc w:val="left"/>
    </w:pPr>
    <w:rPr>
      <w:rFonts w:ascii="宋体" w:hAnsi="宋体"/>
      <w:sz w:val="24"/>
      <w:szCs w:val="24"/>
    </w:rPr>
  </w:style>
  <w:style w:type="paragraph" w:customStyle="1" w:styleId="biaogeright1">
    <w:name w:val="biaoge_right1"/>
    <w:basedOn w:val="a"/>
    <w:qFormat/>
    <w:rsid w:val="000C2861"/>
    <w:pPr>
      <w:widowControl/>
      <w:autoSpaceDE w:val="0"/>
      <w:autoSpaceDN w:val="0"/>
      <w:adjustRightInd w:val="0"/>
      <w:spacing w:before="29" w:line="288" w:lineRule="auto"/>
      <w:ind w:left="15"/>
      <w:jc w:val="right"/>
    </w:pPr>
    <w:rPr>
      <w:rFonts w:ascii="宋体" w:hAnsi="宋体"/>
      <w:sz w:val="24"/>
      <w:szCs w:val="24"/>
    </w:rPr>
  </w:style>
  <w:style w:type="paragraph" w:customStyle="1" w:styleId="biaogeleft1">
    <w:name w:val="biaoge_left1"/>
    <w:basedOn w:val="a"/>
    <w:qFormat/>
    <w:rsid w:val="000C2861"/>
    <w:pPr>
      <w:widowControl/>
      <w:autoSpaceDE w:val="0"/>
      <w:autoSpaceDN w:val="0"/>
      <w:adjustRightInd w:val="0"/>
      <w:spacing w:before="29" w:line="288" w:lineRule="auto"/>
      <w:ind w:left="15"/>
      <w:jc w:val="left"/>
    </w:pPr>
    <w:rPr>
      <w:rFonts w:ascii="宋体" w:hAnsi="宋体"/>
      <w:sz w:val="24"/>
      <w:szCs w:val="24"/>
    </w:rPr>
  </w:style>
  <w:style w:type="paragraph" w:customStyle="1" w:styleId="Default">
    <w:name w:val="Default"/>
    <w:uiPriority w:val="99"/>
    <w:unhideWhenUsed/>
    <w:qFormat/>
    <w:rsid w:val="000C2861"/>
    <w:pPr>
      <w:widowControl w:val="0"/>
      <w:autoSpaceDE w:val="0"/>
      <w:autoSpaceDN w:val="0"/>
      <w:adjustRightInd w:val="0"/>
    </w:pPr>
    <w:rPr>
      <w:rFonts w:ascii="宋体." w:eastAsia="宋体." w:hAnsi="宋体." w:hint="eastAsia"/>
      <w:color w:val="000000"/>
      <w:sz w:val="24"/>
      <w:szCs w:val="24"/>
    </w:rPr>
  </w:style>
  <w:style w:type="paragraph" w:styleId="aa">
    <w:name w:val="List Paragraph"/>
    <w:basedOn w:val="a"/>
    <w:uiPriority w:val="1"/>
    <w:unhideWhenUsed/>
    <w:qFormat/>
    <w:rsid w:val="000C2861"/>
    <w:pPr>
      <w:ind w:left="116" w:right="355" w:firstLine="480"/>
    </w:pPr>
    <w:rPr>
      <w:rFonts w:hint="eastAsia"/>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316</Words>
  <Characters>1804</Characters>
  <Application>Microsoft Office Word</Application>
  <DocSecurity>4</DocSecurity>
  <Lines>15</Lines>
  <Paragraphs>4</Paragraphs>
  <ScaleCrop>false</ScaleCrop>
  <Company>CNSTOCK</Company>
  <LinksUpToDate>false</LinksUpToDate>
  <CharactersWithSpaces>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ZHONGM</cp:lastModifiedBy>
  <cp:revision>2</cp:revision>
  <dcterms:created xsi:type="dcterms:W3CDTF">2025-12-18T16:03:00Z</dcterms:created>
  <dcterms:modified xsi:type="dcterms:W3CDTF">2025-12-18T16:03:00Z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B373E66D7FEC448391280D972BEE53D5_13</vt:lpwstr>
  </property>
</Properties>
</file>