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B0" w:rsidRDefault="008633A8">
      <w:pPr>
        <w:widowControl/>
        <w:adjustRightInd w:val="0"/>
        <w:snapToGrid w:val="0"/>
        <w:spacing w:line="360" w:lineRule="auto"/>
        <w:jc w:val="center"/>
        <w:rPr>
          <w:rFonts w:asciiTheme="minorEastAsia" w:hAnsiTheme="minorEastAsia" w:cs="Times New Roman"/>
          <w:b/>
          <w:color w:val="000000"/>
          <w:kern w:val="0"/>
          <w:sz w:val="36"/>
          <w:szCs w:val="36"/>
        </w:rPr>
      </w:pPr>
      <w:r>
        <w:rPr>
          <w:rFonts w:asciiTheme="minorEastAsia" w:hAnsiTheme="minorEastAsia" w:cs="Times New Roman" w:hint="eastAsia"/>
          <w:b/>
          <w:color w:val="000000"/>
          <w:kern w:val="0"/>
          <w:sz w:val="36"/>
          <w:szCs w:val="36"/>
        </w:rPr>
        <w:t>平安基金管理有限公司</w:t>
      </w:r>
    </w:p>
    <w:p w:rsidR="00AD4EB0" w:rsidRDefault="008633A8">
      <w:pPr>
        <w:widowControl/>
        <w:adjustRightInd w:val="0"/>
        <w:snapToGrid w:val="0"/>
        <w:spacing w:line="360" w:lineRule="auto"/>
        <w:jc w:val="center"/>
        <w:rPr>
          <w:rFonts w:asciiTheme="minorEastAsia" w:hAnsiTheme="minorEastAsia" w:cs="Times New Roman"/>
          <w:b/>
          <w:color w:val="000000"/>
          <w:kern w:val="0"/>
          <w:sz w:val="36"/>
          <w:szCs w:val="36"/>
        </w:rPr>
      </w:pPr>
      <w:r>
        <w:rPr>
          <w:rFonts w:asciiTheme="minorEastAsia" w:hAnsiTheme="minorEastAsia" w:cs="Times New Roman" w:hint="eastAsia"/>
          <w:b/>
          <w:color w:val="000000"/>
          <w:kern w:val="0"/>
          <w:sz w:val="36"/>
          <w:szCs w:val="36"/>
        </w:rPr>
        <w:t>关于平安广州交投广河高速公路封闭式基础设施</w:t>
      </w:r>
    </w:p>
    <w:p w:rsidR="00AD4EB0" w:rsidRDefault="008633A8">
      <w:pPr>
        <w:widowControl/>
        <w:adjustRightInd w:val="0"/>
        <w:snapToGrid w:val="0"/>
        <w:spacing w:line="360" w:lineRule="auto"/>
        <w:jc w:val="center"/>
        <w:rPr>
          <w:rFonts w:asciiTheme="minorEastAsia" w:hAnsiTheme="minorEastAsia" w:cs="Times New Roman"/>
          <w:b/>
          <w:color w:val="000000"/>
          <w:kern w:val="0"/>
          <w:sz w:val="36"/>
          <w:szCs w:val="36"/>
        </w:rPr>
      </w:pPr>
      <w:r>
        <w:rPr>
          <w:rFonts w:asciiTheme="minorEastAsia" w:hAnsiTheme="minorEastAsia" w:cs="Times New Roman" w:hint="eastAsia"/>
          <w:b/>
          <w:color w:val="000000"/>
          <w:kern w:val="0"/>
          <w:sz w:val="36"/>
          <w:szCs w:val="36"/>
        </w:rPr>
        <w:t>证券投资基金收益分配的公告</w:t>
      </w: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AD4EB0">
      <w:pPr>
        <w:widowControl/>
        <w:adjustRightInd w:val="0"/>
        <w:snapToGrid w:val="0"/>
        <w:jc w:val="center"/>
        <w:rPr>
          <w:rFonts w:asciiTheme="minorEastAsia" w:hAnsiTheme="minorEastAsia" w:cs="Times New Roman"/>
          <w:color w:val="000000"/>
          <w:kern w:val="0"/>
          <w:sz w:val="32"/>
          <w:szCs w:val="32"/>
        </w:rPr>
      </w:pPr>
    </w:p>
    <w:p w:rsidR="00AD4EB0" w:rsidRDefault="008633A8">
      <w:pPr>
        <w:spacing w:line="484" w:lineRule="exact"/>
        <w:ind w:left="810" w:right="321"/>
        <w:jc w:val="center"/>
        <w:rPr>
          <w:rFonts w:asciiTheme="minorEastAsia" w:hAnsiTheme="minorEastAsia"/>
          <w:b/>
          <w:sz w:val="28"/>
        </w:rPr>
      </w:pPr>
      <w:r>
        <w:rPr>
          <w:rFonts w:asciiTheme="minorEastAsia" w:hAnsiTheme="minorEastAsia" w:hint="eastAsia"/>
          <w:b/>
          <w:sz w:val="28"/>
        </w:rPr>
        <w:t>公告送出日期：</w:t>
      </w:r>
      <w:r>
        <w:rPr>
          <w:rFonts w:asciiTheme="minorEastAsia" w:hAnsiTheme="minorEastAsia" w:hint="eastAsia"/>
          <w:b/>
          <w:sz w:val="28"/>
        </w:rPr>
        <w:t>202</w:t>
      </w:r>
      <w:r>
        <w:rPr>
          <w:rFonts w:asciiTheme="minorEastAsia" w:hAnsiTheme="minorEastAsia" w:hint="eastAsia"/>
          <w:b/>
          <w:sz w:val="28"/>
        </w:rPr>
        <w:t>5</w:t>
      </w:r>
      <w:r>
        <w:rPr>
          <w:rFonts w:asciiTheme="minorEastAsia" w:hAnsiTheme="minorEastAsia" w:hint="eastAsia"/>
          <w:b/>
          <w:sz w:val="28"/>
        </w:rPr>
        <w:t>年</w:t>
      </w:r>
      <w:r>
        <w:rPr>
          <w:rFonts w:asciiTheme="minorEastAsia" w:hAnsiTheme="minorEastAsia" w:hint="eastAsia"/>
          <w:b/>
          <w:sz w:val="28"/>
        </w:rPr>
        <w:t>12</w:t>
      </w:r>
      <w:r>
        <w:rPr>
          <w:rFonts w:asciiTheme="minorEastAsia" w:hAnsiTheme="minorEastAsia" w:hint="eastAsia"/>
          <w:b/>
          <w:sz w:val="28"/>
        </w:rPr>
        <w:t>月</w:t>
      </w:r>
      <w:r>
        <w:rPr>
          <w:rFonts w:asciiTheme="minorEastAsia" w:hAnsiTheme="minorEastAsia" w:hint="eastAsia"/>
          <w:b/>
          <w:sz w:val="28"/>
        </w:rPr>
        <w:t>19</w:t>
      </w:r>
      <w:r>
        <w:rPr>
          <w:rFonts w:asciiTheme="minorEastAsia" w:hAnsiTheme="minorEastAsia" w:hint="eastAsia"/>
          <w:b/>
          <w:sz w:val="28"/>
        </w:rPr>
        <w:t>日</w:t>
      </w:r>
    </w:p>
    <w:p w:rsidR="00AD4EB0" w:rsidRDefault="008633A8">
      <w:pPr>
        <w:rPr>
          <w:rFonts w:asciiTheme="minorEastAsia" w:hAnsiTheme="minorEastAsia" w:cs="Times New Roman"/>
          <w:color w:val="000000"/>
          <w:kern w:val="0"/>
          <w:sz w:val="32"/>
          <w:szCs w:val="32"/>
        </w:rPr>
      </w:pPr>
      <w:r>
        <w:rPr>
          <w:rFonts w:asciiTheme="minorEastAsia" w:hAnsiTheme="minorEastAsia" w:cs="Times New Roman" w:hint="eastAsia"/>
          <w:color w:val="000000"/>
          <w:kern w:val="0"/>
          <w:sz w:val="32"/>
          <w:szCs w:val="32"/>
        </w:rPr>
        <w:br w:type="page"/>
      </w:r>
    </w:p>
    <w:p w:rsidR="00AD4EB0" w:rsidRDefault="008633A8">
      <w:pPr>
        <w:widowControl/>
        <w:snapToGrid w:val="0"/>
        <w:spacing w:line="360" w:lineRule="auto"/>
        <w:ind w:firstLineChars="200" w:firstLine="562"/>
        <w:rPr>
          <w:rFonts w:asciiTheme="minorEastAsia" w:hAnsiTheme="minorEastAsia" w:cs="Times New Roman"/>
          <w:b/>
          <w:bCs/>
          <w:color w:val="000000"/>
          <w:kern w:val="0"/>
          <w:sz w:val="28"/>
          <w:szCs w:val="28"/>
        </w:rPr>
      </w:pPr>
      <w:r>
        <w:rPr>
          <w:rFonts w:asciiTheme="minorEastAsia" w:hAnsiTheme="minorEastAsia" w:cs="Times New Roman"/>
          <w:b/>
          <w:bCs/>
          <w:color w:val="000000"/>
          <w:kern w:val="0"/>
          <w:sz w:val="28"/>
          <w:szCs w:val="28"/>
        </w:rPr>
        <w:lastRenderedPageBreak/>
        <w:t>一、公募</w:t>
      </w:r>
      <w:r>
        <w:rPr>
          <w:rFonts w:asciiTheme="minorEastAsia" w:hAnsiTheme="minorEastAsia" w:cs="Times New Roman"/>
          <w:b/>
          <w:bCs/>
          <w:color w:val="000000"/>
          <w:kern w:val="0"/>
          <w:sz w:val="28"/>
          <w:szCs w:val="28"/>
        </w:rPr>
        <w:t>REITs</w:t>
      </w:r>
      <w:r>
        <w:rPr>
          <w:rFonts w:asciiTheme="minorEastAsia" w:hAnsiTheme="minorEastAsia" w:cs="Times New Roman"/>
          <w:b/>
          <w:bCs/>
          <w:color w:val="000000"/>
          <w:kern w:val="0"/>
          <w:sz w:val="28"/>
          <w:szCs w:val="28"/>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2656"/>
        <w:gridCol w:w="4158"/>
      </w:tblGrid>
      <w:tr w:rsidR="00AD4EB0">
        <w:trPr>
          <w:trHeight w:val="349"/>
        </w:trPr>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名称</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平安广州交投广河高速公路封闭式基础设施证券投资基金</w:t>
            </w:r>
          </w:p>
        </w:tc>
      </w:tr>
      <w:tr w:rsidR="00AD4EB0">
        <w:trPr>
          <w:trHeight w:val="299"/>
        </w:trPr>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简称</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平安广交投广河高速</w:t>
            </w:r>
            <w:r>
              <w:rPr>
                <w:rFonts w:asciiTheme="minorEastAsia" w:hAnsiTheme="minorEastAsia" w:cs="Times New Roman" w:hint="eastAsia"/>
                <w:color w:val="000000"/>
                <w:kern w:val="0"/>
                <w:szCs w:val="21"/>
              </w:rPr>
              <w:t>REIT</w:t>
            </w:r>
            <w:r>
              <w:rPr>
                <w:rFonts w:asciiTheme="minorEastAsia" w:hAnsiTheme="minorEastAsia" w:cs="Times New Roman" w:hint="eastAsia"/>
                <w:color w:val="000000"/>
                <w:kern w:val="0"/>
                <w:szCs w:val="21"/>
              </w:rPr>
              <w:t>（场内简称：平安广州广河</w:t>
            </w:r>
            <w:r>
              <w:rPr>
                <w:rFonts w:asciiTheme="minorEastAsia" w:hAnsiTheme="minorEastAsia" w:cs="Times New Roman" w:hint="eastAsia"/>
                <w:color w:val="000000"/>
                <w:kern w:val="0"/>
                <w:szCs w:val="21"/>
              </w:rPr>
              <w:t>REIT</w:t>
            </w:r>
            <w:r>
              <w:rPr>
                <w:rFonts w:asciiTheme="minorEastAsia" w:hAnsiTheme="minorEastAsia" w:cs="Times New Roman" w:hint="eastAsia"/>
                <w:color w:val="000000"/>
                <w:kern w:val="0"/>
                <w:szCs w:val="21"/>
              </w:rPr>
              <w:t>）</w:t>
            </w:r>
          </w:p>
        </w:tc>
      </w:tr>
      <w:tr w:rsidR="00AD4EB0">
        <w:trPr>
          <w:trHeight w:val="391"/>
        </w:trPr>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代码</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1</w:t>
            </w:r>
            <w:r>
              <w:rPr>
                <w:rFonts w:asciiTheme="minorEastAsia" w:hAnsiTheme="minorEastAsia" w:cs="Times New Roman"/>
                <w:color w:val="000000"/>
                <w:kern w:val="0"/>
                <w:szCs w:val="21"/>
              </w:rPr>
              <w:t>80201</w:t>
            </w:r>
          </w:p>
        </w:tc>
      </w:tr>
      <w:tr w:rsidR="00AD4EB0">
        <w:trPr>
          <w:trHeight w:val="391"/>
        </w:trPr>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合同生效日</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w:t>
            </w:r>
            <w:r>
              <w:rPr>
                <w:rFonts w:asciiTheme="minorEastAsia" w:hAnsiTheme="minorEastAsia" w:cs="Times New Roman"/>
                <w:color w:val="000000"/>
                <w:kern w:val="0"/>
                <w:szCs w:val="21"/>
              </w:rPr>
              <w:t>021</w:t>
            </w:r>
            <w:r>
              <w:rPr>
                <w:rFonts w:asciiTheme="minorEastAsia" w:hAnsiTheme="minorEastAsia" w:cs="Times New Roman" w:hint="eastAsia"/>
                <w:color w:val="000000"/>
                <w:kern w:val="0"/>
                <w:szCs w:val="21"/>
              </w:rPr>
              <w:t>年</w:t>
            </w:r>
            <w:r>
              <w:rPr>
                <w:rFonts w:asciiTheme="minorEastAsia" w:hAnsiTheme="minorEastAsia" w:cs="Times New Roman"/>
                <w:color w:val="000000"/>
                <w:kern w:val="0"/>
                <w:szCs w:val="21"/>
              </w:rPr>
              <w:t>6</w:t>
            </w:r>
            <w:r>
              <w:rPr>
                <w:rFonts w:asciiTheme="minorEastAsia" w:hAnsiTheme="minorEastAsia" w:cs="Times New Roman" w:hint="eastAsia"/>
                <w:color w:val="000000"/>
                <w:kern w:val="0"/>
                <w:szCs w:val="21"/>
              </w:rPr>
              <w:t>月</w:t>
            </w:r>
            <w:r>
              <w:rPr>
                <w:rFonts w:asciiTheme="minorEastAsia" w:hAnsiTheme="minorEastAsia" w:cs="Times New Roman"/>
                <w:color w:val="000000"/>
                <w:kern w:val="0"/>
                <w:szCs w:val="21"/>
              </w:rPr>
              <w:t>7</w:t>
            </w:r>
            <w:r>
              <w:rPr>
                <w:rFonts w:asciiTheme="minorEastAsia" w:hAnsiTheme="minorEastAsia" w:cs="Times New Roman" w:hint="eastAsia"/>
                <w:color w:val="000000"/>
                <w:kern w:val="0"/>
                <w:szCs w:val="21"/>
              </w:rPr>
              <w:t>日</w:t>
            </w:r>
          </w:p>
        </w:tc>
      </w:tr>
      <w:tr w:rsidR="00AD4EB0">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基金管理人名称</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平安基金管理有限公司</w:t>
            </w:r>
          </w:p>
        </w:tc>
      </w:tr>
      <w:tr w:rsidR="00AD4EB0">
        <w:trPr>
          <w:trHeight w:val="418"/>
        </w:trPr>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基金托管人名称</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中国工商银行股份有限公司</w:t>
            </w:r>
          </w:p>
        </w:tc>
      </w:tr>
      <w:tr w:rsidR="00AD4EB0">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公告依据</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kern w:val="0"/>
                <w:szCs w:val="21"/>
              </w:rPr>
              <w:t>《中华人民共和国证券投资基金法》及其配套法规、《公开募集证券投资基金运作管理办法》、《公开募集基础设施证券投资基金指引（试行）》</w:t>
            </w:r>
            <w:r>
              <w:rPr>
                <w:rFonts w:asciiTheme="minorEastAsia" w:hAnsiTheme="minorEastAsia" w:hint="eastAsia"/>
                <w:kern w:val="0"/>
                <w:szCs w:val="21"/>
              </w:rPr>
              <w:t>、《公开募集证券投资基金信息披露管理办法》等有关规定以及</w:t>
            </w:r>
            <w:r>
              <w:rPr>
                <w:rFonts w:asciiTheme="minorEastAsia" w:hAnsiTheme="minorEastAsia"/>
                <w:kern w:val="0"/>
                <w:szCs w:val="21"/>
              </w:rPr>
              <w:t>《平安广州交投广河高速公路封闭式基础设施证券投资基金基金合同》</w:t>
            </w:r>
            <w:r>
              <w:rPr>
                <w:rFonts w:asciiTheme="minorEastAsia" w:hAnsiTheme="minorEastAsia" w:hint="eastAsia"/>
                <w:kern w:val="0"/>
                <w:szCs w:val="21"/>
              </w:rPr>
              <w:t>、</w:t>
            </w:r>
            <w:r>
              <w:rPr>
                <w:rFonts w:asciiTheme="minorEastAsia" w:hAnsiTheme="minorEastAsia"/>
                <w:kern w:val="0"/>
                <w:szCs w:val="21"/>
              </w:rPr>
              <w:t>《平安广州交投广河高速公路封闭式基础设施证券投资基金招募说明书》</w:t>
            </w:r>
          </w:p>
        </w:tc>
      </w:tr>
      <w:tr w:rsidR="00AD4EB0">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收益分配基准日</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202</w:t>
            </w:r>
            <w:r>
              <w:rPr>
                <w:rFonts w:asciiTheme="minorEastAsia" w:hAnsiTheme="minorEastAsia" w:cs="Times New Roman" w:hint="eastAsia"/>
                <w:color w:val="000000"/>
                <w:kern w:val="0"/>
                <w:szCs w:val="21"/>
              </w:rPr>
              <w:t>5</w:t>
            </w:r>
            <w:r>
              <w:rPr>
                <w:rFonts w:asciiTheme="minorEastAsia" w:hAnsiTheme="minorEastAsia" w:cs="Times New Roman"/>
                <w:color w:val="000000"/>
                <w:kern w:val="0"/>
                <w:szCs w:val="21"/>
              </w:rPr>
              <w:t>年</w:t>
            </w:r>
            <w:r>
              <w:rPr>
                <w:rFonts w:asciiTheme="minorEastAsia" w:hAnsiTheme="minorEastAsia" w:cs="Times New Roman" w:hint="eastAsia"/>
                <w:color w:val="000000"/>
                <w:kern w:val="0"/>
                <w:szCs w:val="21"/>
              </w:rPr>
              <w:t>9</w:t>
            </w:r>
            <w:r>
              <w:rPr>
                <w:rFonts w:asciiTheme="minorEastAsia" w:hAnsiTheme="minorEastAsia" w:cs="Times New Roman"/>
                <w:color w:val="000000"/>
                <w:kern w:val="0"/>
                <w:szCs w:val="21"/>
              </w:rPr>
              <w:t>月</w:t>
            </w:r>
            <w:r>
              <w:rPr>
                <w:rFonts w:asciiTheme="minorEastAsia" w:hAnsiTheme="minorEastAsia" w:cs="Times New Roman"/>
                <w:color w:val="000000"/>
                <w:kern w:val="0"/>
                <w:szCs w:val="21"/>
              </w:rPr>
              <w:t>3</w:t>
            </w:r>
            <w:r>
              <w:rPr>
                <w:rFonts w:asciiTheme="minorEastAsia" w:hAnsiTheme="minorEastAsia" w:cs="Times New Roman" w:hint="eastAsia"/>
                <w:color w:val="000000"/>
                <w:kern w:val="0"/>
                <w:szCs w:val="21"/>
              </w:rPr>
              <w:t>0</w:t>
            </w:r>
            <w:r>
              <w:rPr>
                <w:rFonts w:asciiTheme="minorEastAsia" w:hAnsiTheme="minorEastAsia" w:cs="Times New Roman"/>
                <w:color w:val="000000"/>
                <w:kern w:val="0"/>
                <w:szCs w:val="21"/>
              </w:rPr>
              <w:t>日</w:t>
            </w:r>
            <w:r>
              <w:rPr>
                <w:rFonts w:asciiTheme="minorEastAsia" w:hAnsiTheme="minorEastAsia" w:cs="Times New Roman"/>
                <w:color w:val="000000"/>
                <w:kern w:val="0"/>
                <w:szCs w:val="21"/>
              </w:rPr>
              <w:t xml:space="preserve"> </w:t>
            </w:r>
          </w:p>
        </w:tc>
      </w:tr>
      <w:tr w:rsidR="00AD4EB0">
        <w:trPr>
          <w:trHeight w:val="615"/>
        </w:trPr>
        <w:tc>
          <w:tcPr>
            <w:tcW w:w="1482" w:type="dxa"/>
            <w:vMerge w:val="restart"/>
            <w:vAlign w:val="center"/>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截止收益分配基准日基金的相关指标</w:t>
            </w:r>
          </w:p>
        </w:tc>
        <w:tc>
          <w:tcPr>
            <w:tcW w:w="2656"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基准日公募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份额净值（单位：元）</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p>
        </w:tc>
      </w:tr>
      <w:tr w:rsidR="00AD4EB0">
        <w:trPr>
          <w:trHeight w:val="675"/>
        </w:trPr>
        <w:tc>
          <w:tcPr>
            <w:tcW w:w="1482" w:type="dxa"/>
            <w:vMerge/>
          </w:tcPr>
          <w:p w:rsidR="00AD4EB0" w:rsidRDefault="00AD4EB0">
            <w:pPr>
              <w:widowControl/>
              <w:snapToGrid w:val="0"/>
              <w:spacing w:line="360" w:lineRule="auto"/>
              <w:rPr>
                <w:rFonts w:asciiTheme="minorEastAsia" w:hAnsiTheme="minorEastAsia" w:cs="Times New Roman"/>
                <w:color w:val="000000"/>
                <w:kern w:val="0"/>
                <w:szCs w:val="21"/>
              </w:rPr>
            </w:pPr>
          </w:p>
        </w:tc>
        <w:tc>
          <w:tcPr>
            <w:tcW w:w="2656"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基准日公募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可供分配金额（单位：元）</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159</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010</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052.15</w:t>
            </w:r>
          </w:p>
        </w:tc>
      </w:tr>
      <w:tr w:rsidR="00AD4EB0">
        <w:trPr>
          <w:trHeight w:val="425"/>
        </w:trPr>
        <w:tc>
          <w:tcPr>
            <w:tcW w:w="1482" w:type="dxa"/>
            <w:vMerge/>
          </w:tcPr>
          <w:p w:rsidR="00AD4EB0" w:rsidRDefault="00AD4EB0">
            <w:pPr>
              <w:widowControl/>
              <w:snapToGrid w:val="0"/>
              <w:spacing w:line="360" w:lineRule="auto"/>
              <w:rPr>
                <w:rFonts w:asciiTheme="minorEastAsia" w:hAnsiTheme="minorEastAsia" w:cs="Times New Roman"/>
                <w:color w:val="000000"/>
                <w:kern w:val="0"/>
                <w:szCs w:val="21"/>
              </w:rPr>
            </w:pPr>
          </w:p>
        </w:tc>
        <w:tc>
          <w:tcPr>
            <w:tcW w:w="2656"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本次分红比例</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96.85</w:t>
            </w:r>
            <w:r>
              <w:rPr>
                <w:rFonts w:asciiTheme="minorEastAsia" w:hAnsiTheme="minorEastAsia" w:cs="Times New Roman" w:hint="eastAsia"/>
                <w:color w:val="000000"/>
                <w:kern w:val="0"/>
                <w:szCs w:val="21"/>
              </w:rPr>
              <w:t>%</w:t>
            </w:r>
          </w:p>
        </w:tc>
      </w:tr>
      <w:tr w:rsidR="00AD4EB0">
        <w:trPr>
          <w:trHeight w:val="1035"/>
        </w:trPr>
        <w:tc>
          <w:tcPr>
            <w:tcW w:w="1482" w:type="dxa"/>
            <w:vMerge/>
          </w:tcPr>
          <w:p w:rsidR="00AD4EB0" w:rsidRDefault="00AD4EB0">
            <w:pPr>
              <w:widowControl/>
              <w:snapToGrid w:val="0"/>
              <w:spacing w:line="360" w:lineRule="auto"/>
              <w:rPr>
                <w:rFonts w:asciiTheme="minorEastAsia" w:hAnsiTheme="minorEastAsia" w:cs="Times New Roman"/>
                <w:color w:val="000000"/>
                <w:kern w:val="0"/>
                <w:szCs w:val="21"/>
              </w:rPr>
            </w:pPr>
          </w:p>
        </w:tc>
        <w:tc>
          <w:tcPr>
            <w:tcW w:w="2656"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截止基准日公募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按照</w:t>
            </w:r>
            <w:r>
              <w:rPr>
                <w:rFonts w:asciiTheme="minorEastAsia" w:hAnsiTheme="minorEastAsia" w:cs="Times New Roman" w:hint="eastAsia"/>
                <w:color w:val="000000"/>
                <w:kern w:val="0"/>
                <w:szCs w:val="21"/>
              </w:rPr>
              <w:t>本次</w:t>
            </w:r>
            <w:r>
              <w:rPr>
                <w:rFonts w:asciiTheme="minorEastAsia" w:hAnsiTheme="minorEastAsia" w:cs="Times New Roman"/>
                <w:color w:val="000000"/>
                <w:kern w:val="0"/>
                <w:szCs w:val="21"/>
              </w:rPr>
              <w:t>分红比例计算的应分配金额（单位：元）</w:t>
            </w:r>
          </w:p>
        </w:tc>
        <w:tc>
          <w:tcPr>
            <w:tcW w:w="4158" w:type="dxa"/>
          </w:tcPr>
          <w:p w:rsidR="00AD4EB0" w:rsidRDefault="008633A8">
            <w:pPr>
              <w:widowControl/>
              <w:snapToGrid w:val="0"/>
              <w:spacing w:line="360" w:lineRule="auto"/>
              <w:rPr>
                <w:rFonts w:ascii="宋体" w:hAnsi="宋体"/>
                <w:szCs w:val="24"/>
              </w:rPr>
            </w:pPr>
            <w:r>
              <w:rPr>
                <w:rFonts w:asciiTheme="minorEastAsia" w:hAnsiTheme="minorEastAsia" w:cs="Times New Roman" w:hint="eastAsia"/>
                <w:color w:val="000000"/>
                <w:kern w:val="0"/>
                <w:szCs w:val="21"/>
              </w:rPr>
              <w:t>154,</w:t>
            </w:r>
            <w:r>
              <w:rPr>
                <w:rFonts w:asciiTheme="minorEastAsia" w:hAnsiTheme="minorEastAsia" w:cs="Times New Roman" w:hint="eastAsia"/>
                <w:color w:val="000000"/>
                <w:kern w:val="0"/>
                <w:szCs w:val="21"/>
              </w:rPr>
              <w:t>0</w:t>
            </w:r>
            <w:r>
              <w:rPr>
                <w:rFonts w:asciiTheme="minorEastAsia" w:hAnsiTheme="minorEastAsia" w:cs="Times New Roman" w:hint="eastAsia"/>
                <w:color w:val="000000"/>
                <w:kern w:val="0"/>
                <w:szCs w:val="21"/>
              </w:rPr>
              <w:t>0</w:t>
            </w:r>
            <w:r>
              <w:rPr>
                <w:rFonts w:asciiTheme="minorEastAsia" w:hAnsiTheme="minorEastAsia" w:cs="Times New Roman" w:hint="eastAsia"/>
                <w:color w:val="000000"/>
                <w:kern w:val="0"/>
                <w:szCs w:val="21"/>
              </w:rPr>
              <w:t>0</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000</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00</w:t>
            </w:r>
          </w:p>
        </w:tc>
      </w:tr>
      <w:tr w:rsidR="00AD4EB0">
        <w:trPr>
          <w:trHeight w:val="868"/>
        </w:trPr>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本次公募</w:t>
            </w:r>
            <w:r>
              <w:rPr>
                <w:rFonts w:asciiTheme="minorEastAsia" w:hAnsiTheme="minorEastAsia" w:cs="Times New Roman"/>
                <w:color w:val="000000"/>
                <w:kern w:val="0"/>
                <w:szCs w:val="21"/>
              </w:rPr>
              <w:t>REITs</w:t>
            </w:r>
            <w:r>
              <w:rPr>
                <w:rFonts w:asciiTheme="minorEastAsia" w:hAnsiTheme="minorEastAsia" w:cs="Times New Roman"/>
                <w:color w:val="000000"/>
                <w:kern w:val="0"/>
                <w:szCs w:val="21"/>
              </w:rPr>
              <w:t>分红方案（单位：元</w:t>
            </w:r>
            <w:r>
              <w:rPr>
                <w:rFonts w:asciiTheme="minorEastAsia" w:hAnsiTheme="minorEastAsia" w:cs="Times New Roman"/>
                <w:color w:val="000000"/>
                <w:kern w:val="0"/>
                <w:szCs w:val="21"/>
              </w:rPr>
              <w:t>/10</w:t>
            </w:r>
            <w:r>
              <w:rPr>
                <w:rFonts w:asciiTheme="minorEastAsia" w:hAnsiTheme="minorEastAsia" w:cs="Times New Roman"/>
                <w:color w:val="000000"/>
                <w:kern w:val="0"/>
                <w:szCs w:val="21"/>
              </w:rPr>
              <w:t>份</w:t>
            </w:r>
            <w:r>
              <w:rPr>
                <w:rFonts w:asciiTheme="minorEastAsia" w:hAnsiTheme="minorEastAsia" w:cs="Times New Roman" w:hint="eastAsia"/>
                <w:color w:val="000000"/>
                <w:kern w:val="0"/>
                <w:szCs w:val="21"/>
              </w:rPr>
              <w:t>公募</w:t>
            </w:r>
            <w:r>
              <w:rPr>
                <w:rFonts w:asciiTheme="minorEastAsia" w:hAnsiTheme="minorEastAsia" w:cs="Times New Roman" w:hint="eastAsia"/>
                <w:color w:val="000000"/>
                <w:kern w:val="0"/>
                <w:szCs w:val="21"/>
              </w:rPr>
              <w:t>REITs</w:t>
            </w:r>
            <w:r>
              <w:rPr>
                <w:rFonts w:asciiTheme="minorEastAsia" w:hAnsiTheme="minorEastAsia" w:cs="Times New Roman"/>
                <w:color w:val="000000"/>
                <w:kern w:val="0"/>
                <w:szCs w:val="21"/>
              </w:rPr>
              <w:t>份额）</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2.2000</w:t>
            </w:r>
          </w:p>
        </w:tc>
      </w:tr>
      <w:tr w:rsidR="00AD4EB0">
        <w:trPr>
          <w:trHeight w:val="386"/>
        </w:trPr>
        <w:tc>
          <w:tcPr>
            <w:tcW w:w="413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有关年度分红次数的说明</w:t>
            </w:r>
          </w:p>
        </w:tc>
        <w:tc>
          <w:tcPr>
            <w:tcW w:w="415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本次分红为</w:t>
            </w:r>
            <w:r>
              <w:rPr>
                <w:rFonts w:asciiTheme="minorEastAsia" w:hAnsiTheme="minorEastAsia" w:cs="Times New Roman"/>
                <w:color w:val="000000"/>
                <w:kern w:val="0"/>
                <w:szCs w:val="21"/>
              </w:rPr>
              <w:t>202</w:t>
            </w:r>
            <w:r>
              <w:rPr>
                <w:rFonts w:asciiTheme="minorEastAsia" w:hAnsiTheme="minorEastAsia" w:cs="Times New Roman" w:hint="eastAsia"/>
                <w:color w:val="000000"/>
                <w:kern w:val="0"/>
                <w:szCs w:val="21"/>
              </w:rPr>
              <w:t>5</w:t>
            </w:r>
            <w:r>
              <w:rPr>
                <w:rFonts w:asciiTheme="minorEastAsia" w:hAnsiTheme="minorEastAsia" w:cs="Times New Roman"/>
                <w:color w:val="000000"/>
                <w:kern w:val="0"/>
                <w:szCs w:val="21"/>
              </w:rPr>
              <w:t>年度</w:t>
            </w:r>
            <w:r>
              <w:rPr>
                <w:rFonts w:asciiTheme="minorEastAsia" w:hAnsiTheme="minorEastAsia" w:cs="Times New Roman" w:hint="eastAsia"/>
                <w:color w:val="000000"/>
                <w:kern w:val="0"/>
                <w:szCs w:val="21"/>
              </w:rPr>
              <w:t>的</w:t>
            </w:r>
            <w:r>
              <w:rPr>
                <w:rFonts w:asciiTheme="minorEastAsia" w:hAnsiTheme="minorEastAsia" w:cs="Times New Roman"/>
                <w:color w:val="000000"/>
                <w:kern w:val="0"/>
                <w:szCs w:val="21"/>
              </w:rPr>
              <w:t>第</w:t>
            </w:r>
            <w:r>
              <w:rPr>
                <w:rFonts w:asciiTheme="minorEastAsia" w:hAnsiTheme="minorEastAsia" w:cs="Times New Roman" w:hint="eastAsia"/>
                <w:color w:val="000000"/>
                <w:kern w:val="0"/>
                <w:szCs w:val="21"/>
              </w:rPr>
              <w:t>2</w:t>
            </w:r>
            <w:r>
              <w:rPr>
                <w:rFonts w:asciiTheme="minorEastAsia" w:hAnsiTheme="minorEastAsia" w:cs="Times New Roman"/>
                <w:color w:val="000000"/>
                <w:kern w:val="0"/>
                <w:szCs w:val="21"/>
              </w:rPr>
              <w:t>次分红</w:t>
            </w:r>
            <w:r>
              <w:rPr>
                <w:rFonts w:asciiTheme="minorEastAsia" w:hAnsiTheme="minorEastAsia" w:cs="Times New Roman"/>
                <w:color w:val="000000"/>
                <w:kern w:val="0"/>
                <w:szCs w:val="21"/>
              </w:rPr>
              <w:t xml:space="preserve"> </w:t>
            </w:r>
          </w:p>
        </w:tc>
      </w:tr>
    </w:tbl>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注：</w:t>
      </w:r>
      <w:r>
        <w:rPr>
          <w:rFonts w:asciiTheme="minorEastAsia" w:hAnsiTheme="minorEastAsia" w:cs="Times New Roman" w:hint="eastAsia"/>
          <w:color w:val="000000"/>
          <w:kern w:val="0"/>
          <w:szCs w:val="21"/>
        </w:rPr>
        <w:t>1</w:t>
      </w:r>
      <w:r>
        <w:rPr>
          <w:rFonts w:asciiTheme="minorEastAsia" w:hAnsiTheme="minorEastAsia" w:cs="Times New Roman" w:hint="eastAsia"/>
          <w:color w:val="000000"/>
          <w:kern w:val="0"/>
          <w:szCs w:val="21"/>
        </w:rPr>
        <w:t>、本基金</w:t>
      </w:r>
      <w:r>
        <w:rPr>
          <w:rFonts w:asciiTheme="minorEastAsia" w:hAnsiTheme="minorEastAsia" w:cs="Times New Roman" w:hint="eastAsia"/>
          <w:color w:val="000000"/>
          <w:kern w:val="0"/>
          <w:szCs w:val="21"/>
        </w:rPr>
        <w:t>2</w:t>
      </w:r>
      <w:r>
        <w:rPr>
          <w:rFonts w:asciiTheme="minorEastAsia" w:hAnsiTheme="minorEastAsia" w:cs="Times New Roman"/>
          <w:color w:val="000000"/>
          <w:kern w:val="0"/>
          <w:szCs w:val="21"/>
        </w:rPr>
        <w:t>02</w:t>
      </w:r>
      <w:r>
        <w:rPr>
          <w:rFonts w:asciiTheme="minorEastAsia" w:hAnsiTheme="minorEastAsia" w:cs="Times New Roman" w:hint="eastAsia"/>
          <w:color w:val="000000"/>
          <w:kern w:val="0"/>
          <w:szCs w:val="21"/>
        </w:rPr>
        <w:t>5</w:t>
      </w:r>
      <w:r>
        <w:rPr>
          <w:rFonts w:asciiTheme="minorEastAsia" w:hAnsiTheme="minorEastAsia" w:cs="Times New Roman" w:hint="eastAsia"/>
          <w:color w:val="000000"/>
          <w:kern w:val="0"/>
          <w:szCs w:val="21"/>
        </w:rPr>
        <w:t>年</w:t>
      </w:r>
      <w:r>
        <w:rPr>
          <w:rFonts w:asciiTheme="minorEastAsia" w:hAnsiTheme="minorEastAsia" w:cs="Times New Roman" w:hint="eastAsia"/>
          <w:color w:val="000000"/>
          <w:kern w:val="0"/>
          <w:szCs w:val="21"/>
        </w:rPr>
        <w:t>7</w:t>
      </w:r>
      <w:r>
        <w:rPr>
          <w:rFonts w:asciiTheme="minorEastAsia" w:hAnsiTheme="minorEastAsia" w:cs="Times New Roman" w:hint="eastAsia"/>
          <w:color w:val="000000"/>
          <w:kern w:val="0"/>
          <w:szCs w:val="21"/>
        </w:rPr>
        <w:t>月</w:t>
      </w:r>
      <w:r>
        <w:rPr>
          <w:rFonts w:asciiTheme="minorEastAsia" w:hAnsiTheme="minorEastAsia" w:cs="Times New Roman"/>
          <w:color w:val="000000"/>
          <w:kern w:val="0"/>
          <w:szCs w:val="21"/>
        </w:rPr>
        <w:t>1</w:t>
      </w:r>
      <w:r>
        <w:rPr>
          <w:rFonts w:asciiTheme="minorEastAsia" w:hAnsiTheme="minorEastAsia" w:cs="Times New Roman" w:hint="eastAsia"/>
          <w:color w:val="000000"/>
          <w:kern w:val="0"/>
          <w:szCs w:val="21"/>
        </w:rPr>
        <w:t>日至收益分配基准日</w:t>
      </w:r>
      <w:r>
        <w:rPr>
          <w:rFonts w:asciiTheme="minorEastAsia" w:hAnsiTheme="minorEastAsia" w:cs="Times New Roman" w:hint="eastAsia"/>
          <w:color w:val="000000"/>
          <w:kern w:val="0"/>
          <w:szCs w:val="21"/>
        </w:rPr>
        <w:t>2</w:t>
      </w:r>
      <w:r>
        <w:rPr>
          <w:rFonts w:asciiTheme="minorEastAsia" w:hAnsiTheme="minorEastAsia" w:cs="Times New Roman"/>
          <w:color w:val="000000"/>
          <w:kern w:val="0"/>
          <w:szCs w:val="21"/>
        </w:rPr>
        <w:t>02</w:t>
      </w:r>
      <w:r>
        <w:rPr>
          <w:rFonts w:asciiTheme="minorEastAsia" w:hAnsiTheme="minorEastAsia" w:cs="Times New Roman" w:hint="eastAsia"/>
          <w:color w:val="000000"/>
          <w:kern w:val="0"/>
          <w:szCs w:val="21"/>
        </w:rPr>
        <w:t>5</w:t>
      </w:r>
      <w:r>
        <w:rPr>
          <w:rFonts w:asciiTheme="minorEastAsia" w:hAnsiTheme="minorEastAsia" w:cs="Times New Roman" w:hint="eastAsia"/>
          <w:color w:val="000000"/>
          <w:kern w:val="0"/>
          <w:szCs w:val="21"/>
        </w:rPr>
        <w:t>年</w:t>
      </w:r>
      <w:r>
        <w:rPr>
          <w:rFonts w:asciiTheme="minorEastAsia" w:hAnsiTheme="minorEastAsia" w:cs="Times New Roman" w:hint="eastAsia"/>
          <w:color w:val="000000"/>
          <w:kern w:val="0"/>
          <w:szCs w:val="21"/>
        </w:rPr>
        <w:t>9</w:t>
      </w:r>
      <w:r>
        <w:rPr>
          <w:rFonts w:asciiTheme="minorEastAsia" w:hAnsiTheme="minorEastAsia" w:cs="Times New Roman" w:hint="eastAsia"/>
          <w:color w:val="000000"/>
          <w:kern w:val="0"/>
          <w:szCs w:val="21"/>
        </w:rPr>
        <w:t>月</w:t>
      </w:r>
      <w:r>
        <w:rPr>
          <w:rFonts w:asciiTheme="minorEastAsia" w:hAnsiTheme="minorEastAsia" w:cs="Times New Roman" w:hint="eastAsia"/>
          <w:color w:val="000000"/>
          <w:kern w:val="0"/>
          <w:szCs w:val="21"/>
        </w:rPr>
        <w:t>3</w:t>
      </w:r>
      <w:r>
        <w:rPr>
          <w:rFonts w:asciiTheme="minorEastAsia" w:hAnsiTheme="minorEastAsia" w:cs="Times New Roman" w:hint="eastAsia"/>
          <w:color w:val="000000"/>
          <w:kern w:val="0"/>
          <w:szCs w:val="21"/>
        </w:rPr>
        <w:t>0</w:t>
      </w:r>
      <w:r>
        <w:rPr>
          <w:rFonts w:asciiTheme="minorEastAsia" w:hAnsiTheme="minorEastAsia" w:cs="Times New Roman" w:hint="eastAsia"/>
          <w:color w:val="000000"/>
          <w:kern w:val="0"/>
          <w:szCs w:val="21"/>
        </w:rPr>
        <w:t>日期间的可供分配金额为人民币</w:t>
      </w:r>
      <w:r>
        <w:rPr>
          <w:rFonts w:asciiTheme="minorEastAsia" w:hAnsiTheme="minorEastAsia" w:cs="Times New Roman" w:hint="eastAsia"/>
          <w:color w:val="000000"/>
          <w:kern w:val="0"/>
          <w:szCs w:val="21"/>
        </w:rPr>
        <w:t>159</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010</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052.15</w:t>
      </w:r>
      <w:r>
        <w:rPr>
          <w:rFonts w:asciiTheme="minorEastAsia" w:hAnsiTheme="minorEastAsia" w:cs="Times New Roman" w:hint="eastAsia"/>
          <w:color w:val="000000"/>
          <w:kern w:val="0"/>
          <w:szCs w:val="21"/>
        </w:rPr>
        <w:t>元，本次拟分红金额为</w:t>
      </w:r>
      <w:r>
        <w:rPr>
          <w:rFonts w:asciiTheme="minorEastAsia" w:hAnsiTheme="minorEastAsia" w:cs="Times New Roman" w:hint="eastAsia"/>
          <w:color w:val="000000"/>
          <w:kern w:val="0"/>
          <w:szCs w:val="21"/>
        </w:rPr>
        <w:t>154,</w:t>
      </w:r>
      <w:r>
        <w:rPr>
          <w:rFonts w:asciiTheme="minorEastAsia" w:hAnsiTheme="minorEastAsia" w:cs="Times New Roman" w:hint="eastAsia"/>
          <w:color w:val="000000"/>
          <w:kern w:val="0"/>
          <w:szCs w:val="21"/>
        </w:rPr>
        <w:t>0</w:t>
      </w:r>
      <w:r>
        <w:rPr>
          <w:rFonts w:asciiTheme="minorEastAsia" w:hAnsiTheme="minorEastAsia" w:cs="Times New Roman" w:hint="eastAsia"/>
          <w:color w:val="000000"/>
          <w:kern w:val="0"/>
          <w:szCs w:val="21"/>
        </w:rPr>
        <w:t>0</w:t>
      </w:r>
      <w:r>
        <w:rPr>
          <w:rFonts w:asciiTheme="minorEastAsia" w:hAnsiTheme="minorEastAsia" w:cs="Times New Roman" w:hint="eastAsia"/>
          <w:color w:val="000000"/>
          <w:kern w:val="0"/>
          <w:szCs w:val="21"/>
        </w:rPr>
        <w:t>0</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000</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00</w:t>
      </w:r>
      <w:r>
        <w:rPr>
          <w:rFonts w:asciiTheme="minorEastAsia" w:hAnsiTheme="minorEastAsia" w:cs="Times New Roman" w:hint="eastAsia"/>
          <w:color w:val="000000"/>
          <w:kern w:val="0"/>
          <w:szCs w:val="21"/>
        </w:rPr>
        <w:t>元，分红比例为</w:t>
      </w:r>
      <w:r>
        <w:rPr>
          <w:rFonts w:asciiTheme="minorEastAsia" w:hAnsiTheme="minorEastAsia" w:cs="Times New Roman"/>
          <w:color w:val="000000"/>
          <w:kern w:val="0"/>
          <w:szCs w:val="21"/>
        </w:rPr>
        <w:t>9</w:t>
      </w:r>
      <w:r>
        <w:rPr>
          <w:rFonts w:asciiTheme="minorEastAsia" w:hAnsiTheme="minorEastAsia" w:cs="Times New Roman" w:hint="eastAsia"/>
          <w:color w:val="000000"/>
          <w:kern w:val="0"/>
          <w:szCs w:val="21"/>
        </w:rPr>
        <w:t>6.85</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w:t>
      </w:r>
      <w:r>
        <w:rPr>
          <w:rFonts w:asciiTheme="minorEastAsia" w:hAnsiTheme="minorEastAsia" w:cs="Times New Roman"/>
          <w:color w:val="000000"/>
          <w:kern w:val="0"/>
          <w:szCs w:val="21"/>
        </w:rPr>
        <w:t>本次分红符合合同</w:t>
      </w:r>
      <w:r>
        <w:rPr>
          <w:rFonts w:asciiTheme="minorEastAsia" w:hAnsiTheme="minorEastAsia" w:cs="Times New Roman" w:hint="eastAsia"/>
          <w:color w:val="000000"/>
          <w:kern w:val="0"/>
          <w:szCs w:val="21"/>
        </w:rPr>
        <w:t>约定。</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color w:val="000000"/>
          <w:kern w:val="0"/>
          <w:szCs w:val="21"/>
        </w:rPr>
        <w:t>2</w:t>
      </w:r>
      <w:r>
        <w:rPr>
          <w:rFonts w:asciiTheme="minorEastAsia" w:hAnsiTheme="minorEastAsia" w:cs="Times New Roman" w:hint="eastAsia"/>
          <w:color w:val="000000"/>
          <w:kern w:val="0"/>
          <w:szCs w:val="21"/>
        </w:rPr>
        <w:t>、</w:t>
      </w:r>
      <w:r>
        <w:rPr>
          <w:rFonts w:asciiTheme="minorEastAsia" w:hAnsiTheme="minorEastAsia" w:cs="Times New Roman"/>
          <w:color w:val="000000"/>
          <w:kern w:val="0"/>
          <w:szCs w:val="21"/>
        </w:rPr>
        <w:t>本次收益分配方案已经基金托管人复核。</w:t>
      </w:r>
    </w:p>
    <w:p w:rsidR="00AD4EB0" w:rsidRDefault="008633A8">
      <w:pPr>
        <w:widowControl/>
        <w:snapToGrid w:val="0"/>
        <w:spacing w:line="360" w:lineRule="auto"/>
        <w:ind w:firstLineChars="200" w:firstLine="562"/>
        <w:rPr>
          <w:rFonts w:asciiTheme="minorEastAsia" w:hAnsiTheme="minorEastAsia" w:cs="Times New Roman"/>
          <w:b/>
          <w:bCs/>
          <w:color w:val="000000"/>
          <w:kern w:val="0"/>
          <w:sz w:val="28"/>
          <w:szCs w:val="28"/>
        </w:rPr>
      </w:pPr>
      <w:r>
        <w:rPr>
          <w:rFonts w:asciiTheme="minorEastAsia" w:hAnsiTheme="minorEastAsia" w:cs="Times New Roman"/>
          <w:b/>
          <w:bCs/>
          <w:color w:val="000000"/>
          <w:kern w:val="0"/>
          <w:sz w:val="28"/>
          <w:szCs w:val="28"/>
        </w:rPr>
        <w:t>二、与分红相关的其他信息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8"/>
        <w:gridCol w:w="2696"/>
        <w:gridCol w:w="2772"/>
      </w:tblGrid>
      <w:tr w:rsidR="00AD4EB0">
        <w:tc>
          <w:tcPr>
            <w:tcW w:w="282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权益登记日</w:t>
            </w:r>
          </w:p>
        </w:tc>
        <w:tc>
          <w:tcPr>
            <w:tcW w:w="546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202</w:t>
            </w:r>
            <w:r>
              <w:rPr>
                <w:rFonts w:asciiTheme="minorEastAsia" w:hAnsiTheme="minorEastAsia" w:cs="Times New Roman" w:hint="eastAsia"/>
                <w:color w:val="000000"/>
                <w:kern w:val="0"/>
                <w:szCs w:val="21"/>
              </w:rPr>
              <w:t>5</w:t>
            </w:r>
            <w:r>
              <w:rPr>
                <w:rFonts w:asciiTheme="minorEastAsia" w:hAnsiTheme="minorEastAsia" w:cs="Times New Roman" w:hint="eastAsia"/>
                <w:color w:val="000000"/>
                <w:kern w:val="0"/>
                <w:szCs w:val="21"/>
              </w:rPr>
              <w:t>年</w:t>
            </w:r>
            <w:r>
              <w:rPr>
                <w:rFonts w:asciiTheme="minorEastAsia" w:hAnsiTheme="minorEastAsia" w:cs="Times New Roman" w:hint="eastAsia"/>
                <w:color w:val="000000"/>
                <w:kern w:val="0"/>
                <w:szCs w:val="21"/>
              </w:rPr>
              <w:t>12</w:t>
            </w:r>
            <w:r>
              <w:rPr>
                <w:rFonts w:asciiTheme="minorEastAsia" w:hAnsiTheme="minorEastAsia" w:cs="Times New Roman" w:hint="eastAsia"/>
                <w:color w:val="000000"/>
                <w:kern w:val="0"/>
                <w:szCs w:val="21"/>
              </w:rPr>
              <w:t>月</w:t>
            </w:r>
            <w:r>
              <w:rPr>
                <w:rFonts w:asciiTheme="minorEastAsia" w:hAnsiTheme="minorEastAsia" w:cs="Times New Roman" w:hint="eastAsia"/>
                <w:color w:val="000000"/>
                <w:kern w:val="0"/>
                <w:szCs w:val="21"/>
              </w:rPr>
              <w:t>23</w:t>
            </w:r>
            <w:r>
              <w:rPr>
                <w:rFonts w:asciiTheme="minorEastAsia" w:hAnsiTheme="minorEastAsia" w:cs="Times New Roman" w:hint="eastAsia"/>
                <w:color w:val="000000"/>
                <w:kern w:val="0"/>
                <w:szCs w:val="21"/>
              </w:rPr>
              <w:t>日</w:t>
            </w:r>
          </w:p>
        </w:tc>
      </w:tr>
      <w:tr w:rsidR="00AD4EB0">
        <w:tc>
          <w:tcPr>
            <w:tcW w:w="282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除息日</w:t>
            </w:r>
          </w:p>
        </w:tc>
        <w:tc>
          <w:tcPr>
            <w:tcW w:w="2696"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202</w:t>
            </w:r>
            <w:r>
              <w:rPr>
                <w:rFonts w:asciiTheme="minorEastAsia" w:hAnsiTheme="minorEastAsia" w:cs="Times New Roman" w:hint="eastAsia"/>
                <w:color w:val="000000"/>
                <w:kern w:val="0"/>
                <w:szCs w:val="21"/>
              </w:rPr>
              <w:t>5</w:t>
            </w:r>
            <w:r>
              <w:rPr>
                <w:rFonts w:asciiTheme="minorEastAsia" w:hAnsiTheme="minorEastAsia" w:cs="Times New Roman" w:hint="eastAsia"/>
                <w:color w:val="000000"/>
                <w:kern w:val="0"/>
                <w:szCs w:val="21"/>
              </w:rPr>
              <w:t>年</w:t>
            </w:r>
            <w:r>
              <w:rPr>
                <w:rFonts w:asciiTheme="minorEastAsia" w:hAnsiTheme="minorEastAsia" w:cs="Times New Roman" w:hint="eastAsia"/>
                <w:color w:val="000000"/>
                <w:kern w:val="0"/>
                <w:szCs w:val="21"/>
              </w:rPr>
              <w:t>12</w:t>
            </w:r>
            <w:r>
              <w:rPr>
                <w:rFonts w:asciiTheme="minorEastAsia" w:hAnsiTheme="minorEastAsia" w:cs="Times New Roman" w:hint="eastAsia"/>
                <w:color w:val="000000"/>
                <w:kern w:val="0"/>
                <w:szCs w:val="21"/>
              </w:rPr>
              <w:t>月</w:t>
            </w:r>
            <w:r>
              <w:rPr>
                <w:rFonts w:asciiTheme="minorEastAsia" w:hAnsiTheme="minorEastAsia" w:cs="Times New Roman" w:hint="eastAsia"/>
                <w:color w:val="000000"/>
                <w:kern w:val="0"/>
                <w:szCs w:val="21"/>
              </w:rPr>
              <w:t>24</w:t>
            </w:r>
            <w:r>
              <w:rPr>
                <w:rFonts w:asciiTheme="minorEastAsia" w:hAnsiTheme="minorEastAsia" w:cs="Times New Roman" w:hint="eastAsia"/>
                <w:color w:val="000000"/>
                <w:kern w:val="0"/>
                <w:szCs w:val="21"/>
              </w:rPr>
              <w:t>日（场内）</w:t>
            </w:r>
          </w:p>
        </w:tc>
        <w:tc>
          <w:tcPr>
            <w:tcW w:w="2772"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202</w:t>
            </w:r>
            <w:r>
              <w:rPr>
                <w:rFonts w:asciiTheme="minorEastAsia" w:hAnsiTheme="minorEastAsia" w:cs="Times New Roman" w:hint="eastAsia"/>
                <w:color w:val="000000"/>
                <w:kern w:val="0"/>
                <w:szCs w:val="21"/>
              </w:rPr>
              <w:t>5</w:t>
            </w:r>
            <w:r>
              <w:rPr>
                <w:rFonts w:asciiTheme="minorEastAsia" w:hAnsiTheme="minorEastAsia" w:cs="Times New Roman" w:hint="eastAsia"/>
                <w:color w:val="000000"/>
                <w:kern w:val="0"/>
                <w:szCs w:val="21"/>
              </w:rPr>
              <w:t>年</w:t>
            </w:r>
            <w:r>
              <w:rPr>
                <w:rFonts w:asciiTheme="minorEastAsia" w:hAnsiTheme="minorEastAsia" w:cs="Times New Roman" w:hint="eastAsia"/>
                <w:color w:val="000000"/>
                <w:kern w:val="0"/>
                <w:szCs w:val="21"/>
              </w:rPr>
              <w:t>12</w:t>
            </w:r>
            <w:r>
              <w:rPr>
                <w:rFonts w:asciiTheme="minorEastAsia" w:hAnsiTheme="minorEastAsia" w:cs="Times New Roman" w:hint="eastAsia"/>
                <w:color w:val="000000"/>
                <w:kern w:val="0"/>
                <w:szCs w:val="21"/>
              </w:rPr>
              <w:t>月</w:t>
            </w:r>
            <w:r>
              <w:rPr>
                <w:rFonts w:asciiTheme="minorEastAsia" w:hAnsiTheme="minorEastAsia" w:cs="Times New Roman" w:hint="eastAsia"/>
                <w:color w:val="000000"/>
                <w:kern w:val="0"/>
                <w:szCs w:val="21"/>
              </w:rPr>
              <w:t>23</w:t>
            </w:r>
            <w:r>
              <w:rPr>
                <w:rFonts w:asciiTheme="minorEastAsia" w:hAnsiTheme="minorEastAsia" w:cs="Times New Roman" w:hint="eastAsia"/>
                <w:color w:val="000000"/>
                <w:kern w:val="0"/>
                <w:szCs w:val="21"/>
              </w:rPr>
              <w:t>日（场外）</w:t>
            </w:r>
          </w:p>
        </w:tc>
      </w:tr>
      <w:tr w:rsidR="00AD4EB0">
        <w:tc>
          <w:tcPr>
            <w:tcW w:w="282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现金红利发放日</w:t>
            </w:r>
          </w:p>
        </w:tc>
        <w:tc>
          <w:tcPr>
            <w:tcW w:w="2696"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202</w:t>
            </w:r>
            <w:r>
              <w:rPr>
                <w:rFonts w:asciiTheme="minorEastAsia" w:hAnsiTheme="minorEastAsia" w:cs="Times New Roman" w:hint="eastAsia"/>
                <w:color w:val="000000"/>
                <w:kern w:val="0"/>
                <w:szCs w:val="21"/>
              </w:rPr>
              <w:t>5</w:t>
            </w:r>
            <w:r>
              <w:rPr>
                <w:rFonts w:asciiTheme="minorEastAsia" w:hAnsiTheme="minorEastAsia" w:cs="Times New Roman" w:hint="eastAsia"/>
                <w:color w:val="000000"/>
                <w:kern w:val="0"/>
                <w:szCs w:val="21"/>
              </w:rPr>
              <w:t>年</w:t>
            </w:r>
            <w:r>
              <w:rPr>
                <w:rFonts w:asciiTheme="minorEastAsia" w:hAnsiTheme="minorEastAsia" w:cs="Times New Roman" w:hint="eastAsia"/>
                <w:color w:val="000000"/>
                <w:kern w:val="0"/>
                <w:szCs w:val="21"/>
              </w:rPr>
              <w:t>12</w:t>
            </w:r>
            <w:r>
              <w:rPr>
                <w:rFonts w:asciiTheme="minorEastAsia" w:hAnsiTheme="minorEastAsia" w:cs="Times New Roman" w:hint="eastAsia"/>
                <w:color w:val="000000"/>
                <w:kern w:val="0"/>
                <w:szCs w:val="21"/>
              </w:rPr>
              <w:t>月</w:t>
            </w:r>
            <w:r>
              <w:rPr>
                <w:rFonts w:asciiTheme="minorEastAsia" w:hAnsiTheme="minorEastAsia" w:cs="Times New Roman" w:hint="eastAsia"/>
                <w:color w:val="000000"/>
                <w:kern w:val="0"/>
                <w:szCs w:val="21"/>
              </w:rPr>
              <w:t>26</w:t>
            </w:r>
            <w:r>
              <w:rPr>
                <w:rFonts w:asciiTheme="minorEastAsia" w:hAnsiTheme="minorEastAsia" w:cs="Times New Roman" w:hint="eastAsia"/>
                <w:color w:val="000000"/>
                <w:kern w:val="0"/>
                <w:szCs w:val="21"/>
              </w:rPr>
              <w:t>日（场内）</w:t>
            </w:r>
          </w:p>
        </w:tc>
        <w:tc>
          <w:tcPr>
            <w:tcW w:w="2772"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202</w:t>
            </w:r>
            <w:r>
              <w:rPr>
                <w:rFonts w:asciiTheme="minorEastAsia" w:hAnsiTheme="minorEastAsia" w:cs="Times New Roman" w:hint="eastAsia"/>
                <w:color w:val="000000"/>
                <w:kern w:val="0"/>
                <w:szCs w:val="21"/>
              </w:rPr>
              <w:t>5</w:t>
            </w:r>
            <w:r>
              <w:rPr>
                <w:rFonts w:asciiTheme="minorEastAsia" w:hAnsiTheme="minorEastAsia" w:cs="Times New Roman" w:hint="eastAsia"/>
                <w:color w:val="000000"/>
                <w:kern w:val="0"/>
                <w:szCs w:val="21"/>
              </w:rPr>
              <w:t>年</w:t>
            </w:r>
            <w:r>
              <w:rPr>
                <w:rFonts w:asciiTheme="minorEastAsia" w:hAnsiTheme="minorEastAsia" w:cs="Times New Roman" w:hint="eastAsia"/>
                <w:color w:val="000000"/>
                <w:kern w:val="0"/>
                <w:szCs w:val="21"/>
              </w:rPr>
              <w:t>12</w:t>
            </w:r>
            <w:r>
              <w:rPr>
                <w:rFonts w:asciiTheme="minorEastAsia" w:hAnsiTheme="minorEastAsia" w:cs="Times New Roman" w:hint="eastAsia"/>
                <w:color w:val="000000"/>
                <w:kern w:val="0"/>
                <w:szCs w:val="21"/>
              </w:rPr>
              <w:t>月</w:t>
            </w:r>
            <w:r>
              <w:rPr>
                <w:rFonts w:asciiTheme="minorEastAsia" w:hAnsiTheme="minorEastAsia" w:cs="Times New Roman" w:hint="eastAsia"/>
                <w:color w:val="000000"/>
                <w:kern w:val="0"/>
                <w:szCs w:val="21"/>
              </w:rPr>
              <w:t>25</w:t>
            </w:r>
            <w:r>
              <w:rPr>
                <w:rFonts w:asciiTheme="minorEastAsia" w:hAnsiTheme="minorEastAsia" w:cs="Times New Roman" w:hint="eastAsia"/>
                <w:color w:val="000000"/>
                <w:kern w:val="0"/>
                <w:szCs w:val="21"/>
              </w:rPr>
              <w:t>日（场外）</w:t>
            </w:r>
          </w:p>
        </w:tc>
      </w:tr>
      <w:tr w:rsidR="00AD4EB0">
        <w:tc>
          <w:tcPr>
            <w:tcW w:w="282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分红对象</w:t>
            </w:r>
          </w:p>
        </w:tc>
        <w:tc>
          <w:tcPr>
            <w:tcW w:w="546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权益登记日在本基金登记机构登记在册的本基金份额持有人</w:t>
            </w:r>
          </w:p>
        </w:tc>
      </w:tr>
      <w:tr w:rsidR="00AD4EB0">
        <w:tc>
          <w:tcPr>
            <w:tcW w:w="282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红利再投资相关事项的说明</w:t>
            </w:r>
          </w:p>
        </w:tc>
        <w:tc>
          <w:tcPr>
            <w:tcW w:w="546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本基金收益分配方式为现金分红</w:t>
            </w:r>
          </w:p>
        </w:tc>
      </w:tr>
      <w:tr w:rsidR="00AD4EB0">
        <w:tc>
          <w:tcPr>
            <w:tcW w:w="282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税收相关事项的说明</w:t>
            </w:r>
          </w:p>
        </w:tc>
        <w:tc>
          <w:tcPr>
            <w:tcW w:w="546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根据财政部、国家税务总局相关规定，基金向投资者分配的基金收益，暂免征收所得税。</w:t>
            </w:r>
          </w:p>
        </w:tc>
      </w:tr>
      <w:tr w:rsidR="00AD4EB0">
        <w:tc>
          <w:tcPr>
            <w:tcW w:w="2828" w:type="dxa"/>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color w:val="000000"/>
                <w:kern w:val="0"/>
                <w:szCs w:val="21"/>
              </w:rPr>
              <w:t>费用相关事项的说明</w:t>
            </w:r>
          </w:p>
        </w:tc>
        <w:tc>
          <w:tcPr>
            <w:tcW w:w="5468" w:type="dxa"/>
            <w:gridSpan w:val="2"/>
          </w:tcPr>
          <w:p w:rsidR="00AD4EB0" w:rsidRDefault="008633A8">
            <w:pPr>
              <w:widowControl/>
              <w:snapToGrid w:val="0"/>
              <w:spacing w:line="360" w:lineRule="auto"/>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本次分红免收分红手续费</w:t>
            </w:r>
          </w:p>
        </w:tc>
      </w:tr>
    </w:tbl>
    <w:p w:rsidR="00AD4EB0" w:rsidRDefault="008633A8" w:rsidP="008633A8">
      <w:pPr>
        <w:widowControl/>
        <w:snapToGrid w:val="0"/>
        <w:spacing w:beforeLines="50" w:line="360" w:lineRule="auto"/>
        <w:ind w:firstLineChars="200" w:firstLine="562"/>
        <w:rPr>
          <w:rFonts w:asciiTheme="minorEastAsia" w:hAnsiTheme="minorEastAsia" w:cs="Times New Roman"/>
          <w:b/>
          <w:bCs/>
          <w:color w:val="000000"/>
          <w:kern w:val="0"/>
          <w:sz w:val="28"/>
          <w:szCs w:val="28"/>
        </w:rPr>
      </w:pPr>
      <w:r>
        <w:rPr>
          <w:rFonts w:asciiTheme="minorEastAsia" w:hAnsiTheme="minorEastAsia" w:cs="Times New Roman"/>
          <w:b/>
          <w:bCs/>
          <w:color w:val="000000"/>
          <w:kern w:val="0"/>
          <w:sz w:val="28"/>
          <w:szCs w:val="28"/>
        </w:rPr>
        <w:t>三、其他需要提示的事项</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color w:val="000000"/>
          <w:kern w:val="0"/>
          <w:szCs w:val="21"/>
        </w:rPr>
        <w:t>（</w:t>
      </w:r>
      <w:r>
        <w:rPr>
          <w:rFonts w:asciiTheme="minorEastAsia" w:hAnsiTheme="minorEastAsia" w:cs="Times New Roman"/>
          <w:color w:val="000000"/>
          <w:kern w:val="0"/>
          <w:szCs w:val="21"/>
        </w:rPr>
        <w:t>1</w:t>
      </w:r>
      <w:r>
        <w:rPr>
          <w:rFonts w:asciiTheme="minorEastAsia" w:hAnsiTheme="minorEastAsia" w:cs="Times New Roman"/>
          <w:color w:val="000000"/>
          <w:kern w:val="0"/>
          <w:szCs w:val="21"/>
        </w:rPr>
        <w:t>）权益分派期间（</w:t>
      </w:r>
      <w:r>
        <w:rPr>
          <w:rFonts w:asciiTheme="minorEastAsia" w:hAnsiTheme="minorEastAsia" w:hint="eastAsia"/>
          <w:szCs w:val="21"/>
        </w:rPr>
        <w:t>2</w:t>
      </w:r>
      <w:r>
        <w:rPr>
          <w:rFonts w:asciiTheme="minorEastAsia" w:hAnsiTheme="minorEastAsia"/>
          <w:szCs w:val="21"/>
        </w:rPr>
        <w:t>02</w:t>
      </w:r>
      <w:r>
        <w:rPr>
          <w:rFonts w:asciiTheme="minorEastAsia" w:hAnsiTheme="minorEastAsia" w:hint="eastAsia"/>
          <w:szCs w:val="21"/>
        </w:rPr>
        <w:t>5</w:t>
      </w:r>
      <w:r>
        <w:rPr>
          <w:rFonts w:asciiTheme="minorEastAsia" w:hAnsiTheme="minorEastAsia" w:hint="eastAsia"/>
          <w:szCs w:val="21"/>
        </w:rPr>
        <w:t>年</w:t>
      </w:r>
      <w:r>
        <w:rPr>
          <w:rFonts w:asciiTheme="minorEastAsia" w:hAnsiTheme="minorEastAsia" w:hint="eastAsia"/>
          <w:szCs w:val="21"/>
        </w:rPr>
        <w:t>12</w:t>
      </w:r>
      <w:r>
        <w:rPr>
          <w:rFonts w:asciiTheme="minorEastAsia" w:hAnsiTheme="minorEastAsia" w:hint="eastAsia"/>
          <w:szCs w:val="21"/>
        </w:rPr>
        <w:t>月</w:t>
      </w:r>
      <w:r>
        <w:rPr>
          <w:rFonts w:asciiTheme="minorEastAsia" w:hAnsiTheme="minorEastAsia" w:hint="eastAsia"/>
          <w:szCs w:val="21"/>
        </w:rPr>
        <w:t>19</w:t>
      </w:r>
      <w:r>
        <w:rPr>
          <w:rFonts w:asciiTheme="minorEastAsia" w:hAnsiTheme="minorEastAsia" w:hint="eastAsia"/>
          <w:szCs w:val="21"/>
        </w:rPr>
        <w:t>日至</w:t>
      </w:r>
      <w:r>
        <w:rPr>
          <w:rFonts w:asciiTheme="minorEastAsia" w:hAnsiTheme="minorEastAsia" w:hint="eastAsia"/>
          <w:szCs w:val="21"/>
        </w:rPr>
        <w:t>2</w:t>
      </w:r>
      <w:r>
        <w:rPr>
          <w:rFonts w:asciiTheme="minorEastAsia" w:hAnsiTheme="minorEastAsia"/>
          <w:szCs w:val="21"/>
        </w:rPr>
        <w:t>02</w:t>
      </w:r>
      <w:r>
        <w:rPr>
          <w:rFonts w:asciiTheme="minorEastAsia" w:hAnsiTheme="minorEastAsia" w:hint="eastAsia"/>
          <w:szCs w:val="21"/>
        </w:rPr>
        <w:t>5</w:t>
      </w:r>
      <w:r>
        <w:rPr>
          <w:rFonts w:asciiTheme="minorEastAsia" w:hAnsiTheme="minorEastAsia" w:hint="eastAsia"/>
          <w:szCs w:val="21"/>
        </w:rPr>
        <w:t>年</w:t>
      </w:r>
      <w:r>
        <w:rPr>
          <w:rFonts w:asciiTheme="minorEastAsia" w:hAnsiTheme="minorEastAsia" w:hint="eastAsia"/>
          <w:szCs w:val="21"/>
        </w:rPr>
        <w:t>12</w:t>
      </w:r>
      <w:r>
        <w:rPr>
          <w:rFonts w:asciiTheme="minorEastAsia" w:hAnsiTheme="minorEastAsia" w:hint="eastAsia"/>
          <w:szCs w:val="21"/>
        </w:rPr>
        <w:t>月</w:t>
      </w:r>
      <w:r>
        <w:rPr>
          <w:rFonts w:asciiTheme="minorEastAsia" w:hAnsiTheme="minorEastAsia" w:hint="eastAsia"/>
          <w:szCs w:val="21"/>
        </w:rPr>
        <w:t>23</w:t>
      </w:r>
      <w:r>
        <w:rPr>
          <w:rFonts w:asciiTheme="minorEastAsia" w:hAnsiTheme="minorEastAsia" w:hint="eastAsia"/>
          <w:szCs w:val="21"/>
        </w:rPr>
        <w:t>日</w:t>
      </w:r>
      <w:r>
        <w:rPr>
          <w:rFonts w:asciiTheme="minorEastAsia" w:hAnsiTheme="minorEastAsia" w:cs="Times New Roman"/>
          <w:color w:val="000000"/>
          <w:kern w:val="0"/>
          <w:szCs w:val="21"/>
        </w:rPr>
        <w:t>）暂停跨系统转托管业务。</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2</w:t>
      </w:r>
      <w:r>
        <w:rPr>
          <w:rFonts w:asciiTheme="minorEastAsia" w:hAnsiTheme="minorEastAsia" w:cs="Times New Roman" w:hint="eastAsia"/>
          <w:color w:val="000000"/>
          <w:kern w:val="0"/>
          <w:szCs w:val="21"/>
        </w:rPr>
        <w:t>）根据《深圳证券交易所证券投资基金上市规则</w:t>
      </w:r>
      <w:bookmarkStart w:id="0" w:name="_GoBack"/>
      <w:bookmarkEnd w:id="0"/>
      <w:r>
        <w:rPr>
          <w:rFonts w:asciiTheme="minorEastAsia" w:hAnsiTheme="minorEastAsia" w:cs="Times New Roman" w:hint="eastAsia"/>
          <w:color w:val="000000"/>
          <w:kern w:val="0"/>
          <w:szCs w:val="21"/>
        </w:rPr>
        <w:t>》，平安广州交投广河高速公路封闭式基础设施证券投资基金于本收益分配公告披露当日上午开市起停牌一小时，上午十点三十分复牌。同时，根据《深圳证券交易所证券投资基金业务指南第</w:t>
      </w:r>
      <w:r>
        <w:rPr>
          <w:rFonts w:asciiTheme="minorEastAsia" w:hAnsiTheme="minorEastAsia" w:cs="Times New Roman" w:hint="eastAsia"/>
          <w:color w:val="000000"/>
          <w:kern w:val="0"/>
          <w:szCs w:val="21"/>
        </w:rPr>
        <w:t>3</w:t>
      </w:r>
      <w:r>
        <w:rPr>
          <w:rFonts w:asciiTheme="minorEastAsia" w:hAnsiTheme="minorEastAsia" w:cs="Times New Roman" w:hint="eastAsia"/>
          <w:color w:val="000000"/>
          <w:kern w:val="0"/>
          <w:szCs w:val="21"/>
        </w:rPr>
        <w:t>号</w:t>
      </w:r>
      <w:r>
        <w:rPr>
          <w:rFonts w:asciiTheme="minorEastAsia" w:hAnsiTheme="minorEastAsia" w:cs="Times New Roman" w:hint="eastAsia"/>
          <w:color w:val="000000"/>
          <w:kern w:val="0"/>
          <w:szCs w:val="21"/>
        </w:rPr>
        <w:t>-</w:t>
      </w:r>
      <w:r>
        <w:rPr>
          <w:rFonts w:asciiTheme="minorEastAsia" w:hAnsiTheme="minorEastAsia" w:cs="Times New Roman"/>
          <w:color w:val="000000"/>
          <w:kern w:val="0"/>
          <w:szCs w:val="21"/>
        </w:rPr>
        <w:t>-</w:t>
      </w:r>
      <w:r>
        <w:rPr>
          <w:rFonts w:asciiTheme="minorEastAsia" w:hAnsiTheme="minorEastAsia" w:cs="Times New Roman" w:hint="eastAsia"/>
          <w:color w:val="000000"/>
          <w:kern w:val="0"/>
          <w:szCs w:val="21"/>
        </w:rPr>
        <w:t>基金通转让业务办理》，本基金于本收益分配公告披露当日上午开市起暂停基金通平台份额转让业务一小时，于当日上午十点三十分起恢复基金通平台份额转让业务。</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3</w:t>
      </w:r>
      <w:r>
        <w:rPr>
          <w:rFonts w:asciiTheme="minorEastAsia" w:hAnsiTheme="minorEastAsia" w:cs="Times New Roman" w:hint="eastAsia"/>
          <w:color w:val="000000"/>
          <w:kern w:val="0"/>
          <w:szCs w:val="21"/>
        </w:rPr>
        <w:t>）基金可供分配金额是在合并净利润基础上进行合理调整后的金额，可包括合并净利润和超出合并净利润的其他返还。</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基金管理人在计算可供分配金额过程中，将合并净利润调整为税息折旧及摊销前利润（</w:t>
      </w:r>
      <w:r>
        <w:rPr>
          <w:rFonts w:asciiTheme="minorEastAsia" w:hAnsiTheme="minorEastAsia" w:cs="Times New Roman" w:hint="eastAsia"/>
          <w:color w:val="000000"/>
          <w:kern w:val="0"/>
          <w:szCs w:val="21"/>
        </w:rPr>
        <w:t>EBITDA</w:t>
      </w:r>
      <w:r>
        <w:rPr>
          <w:rFonts w:asciiTheme="minorEastAsia" w:hAnsiTheme="minorEastAsia" w:cs="Times New Roman" w:hint="eastAsia"/>
          <w:color w:val="000000"/>
          <w:kern w:val="0"/>
          <w:szCs w:val="21"/>
        </w:rPr>
        <w:t>），在税息折旧及摊销前利润的基础上进行以下项目的调整：应收项目的变动；支付的利息支出；偿还借款支付的本金；应付项目的变动；资本性支出等。</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hint="eastAsia"/>
          <w:szCs w:val="21"/>
        </w:rPr>
        <w:t>经过上述项目调整后，本基金</w:t>
      </w:r>
      <w:r>
        <w:rPr>
          <w:rFonts w:asciiTheme="minorEastAsia" w:hAnsiTheme="minorEastAsia" w:hint="eastAsia"/>
          <w:szCs w:val="21"/>
        </w:rPr>
        <w:t>2</w:t>
      </w:r>
      <w:r>
        <w:rPr>
          <w:rFonts w:asciiTheme="minorEastAsia" w:hAnsiTheme="minorEastAsia"/>
          <w:szCs w:val="21"/>
        </w:rPr>
        <w:t>02</w:t>
      </w:r>
      <w:r>
        <w:rPr>
          <w:rFonts w:asciiTheme="minorEastAsia" w:hAnsiTheme="minorEastAsia" w:hint="eastAsia"/>
          <w:szCs w:val="21"/>
        </w:rPr>
        <w:t>5</w:t>
      </w:r>
      <w:r>
        <w:rPr>
          <w:rFonts w:asciiTheme="minorEastAsia" w:hAnsiTheme="minorEastAsia" w:hint="eastAsia"/>
          <w:szCs w:val="21"/>
        </w:rPr>
        <w:t>年</w:t>
      </w:r>
      <w:r>
        <w:rPr>
          <w:rFonts w:asciiTheme="minorEastAsia" w:hAnsiTheme="minorEastAsia" w:hint="eastAsia"/>
          <w:szCs w:val="21"/>
        </w:rPr>
        <w:t>7</w:t>
      </w:r>
      <w:r>
        <w:rPr>
          <w:rFonts w:asciiTheme="minorEastAsia" w:hAnsiTheme="minorEastAsia" w:hint="eastAsia"/>
          <w:szCs w:val="21"/>
        </w:rPr>
        <w:t>月</w:t>
      </w:r>
      <w:r>
        <w:rPr>
          <w:rFonts w:asciiTheme="minorEastAsia" w:hAnsiTheme="minorEastAsia"/>
          <w:szCs w:val="21"/>
        </w:rPr>
        <w:t>1</w:t>
      </w:r>
      <w:r>
        <w:rPr>
          <w:rFonts w:asciiTheme="minorEastAsia" w:hAnsiTheme="minorEastAsia" w:hint="eastAsia"/>
          <w:szCs w:val="21"/>
        </w:rPr>
        <w:t>日至收益分配基准日</w:t>
      </w:r>
      <w:r>
        <w:rPr>
          <w:rFonts w:asciiTheme="minorEastAsia" w:hAnsiTheme="minorEastAsia" w:hint="eastAsia"/>
          <w:szCs w:val="21"/>
        </w:rPr>
        <w:t>2</w:t>
      </w:r>
      <w:r>
        <w:rPr>
          <w:rFonts w:asciiTheme="minorEastAsia" w:hAnsiTheme="minorEastAsia"/>
          <w:szCs w:val="21"/>
        </w:rPr>
        <w:t>02</w:t>
      </w:r>
      <w:r>
        <w:rPr>
          <w:rFonts w:asciiTheme="minorEastAsia" w:hAnsiTheme="minorEastAsia" w:hint="eastAsia"/>
          <w:szCs w:val="21"/>
        </w:rPr>
        <w:t>5</w:t>
      </w:r>
      <w:r>
        <w:rPr>
          <w:rFonts w:asciiTheme="minorEastAsia" w:hAnsiTheme="minorEastAsia" w:hint="eastAsia"/>
          <w:szCs w:val="21"/>
        </w:rPr>
        <w:t>年</w:t>
      </w:r>
      <w:r>
        <w:rPr>
          <w:rFonts w:asciiTheme="minorEastAsia" w:hAnsiTheme="minorEastAsia" w:hint="eastAsia"/>
          <w:szCs w:val="21"/>
        </w:rPr>
        <w:t>9</w:t>
      </w:r>
      <w:r>
        <w:rPr>
          <w:rFonts w:asciiTheme="minorEastAsia" w:hAnsiTheme="minorEastAsia" w:hint="eastAsia"/>
          <w:szCs w:val="21"/>
        </w:rPr>
        <w:t>月</w:t>
      </w:r>
      <w:r>
        <w:rPr>
          <w:rFonts w:asciiTheme="minorEastAsia" w:hAnsiTheme="minorEastAsia" w:hint="eastAsia"/>
          <w:szCs w:val="21"/>
        </w:rPr>
        <w:t>3</w:t>
      </w:r>
      <w:r>
        <w:rPr>
          <w:rFonts w:asciiTheme="minorEastAsia" w:hAnsiTheme="minorEastAsia" w:hint="eastAsia"/>
          <w:szCs w:val="21"/>
        </w:rPr>
        <w:t>0</w:t>
      </w:r>
      <w:r>
        <w:rPr>
          <w:rFonts w:asciiTheme="minorEastAsia" w:hAnsiTheme="minorEastAsia" w:hint="eastAsia"/>
          <w:szCs w:val="21"/>
        </w:rPr>
        <w:t>日期间的本年累计可供分配金额为人民币</w:t>
      </w:r>
      <w:r>
        <w:rPr>
          <w:rFonts w:asciiTheme="minorEastAsia" w:hAnsiTheme="minorEastAsia" w:cs="Times New Roman" w:hint="eastAsia"/>
          <w:color w:val="000000"/>
          <w:kern w:val="0"/>
          <w:szCs w:val="21"/>
        </w:rPr>
        <w:t>159</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010</w:t>
      </w: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052.15</w:t>
      </w:r>
      <w:r>
        <w:rPr>
          <w:rFonts w:asciiTheme="minorEastAsia" w:hAnsiTheme="minorEastAsia" w:cs="Times New Roman" w:hint="eastAsia"/>
          <w:color w:val="000000"/>
          <w:kern w:val="0"/>
          <w:szCs w:val="21"/>
        </w:rPr>
        <w:t>元</w:t>
      </w:r>
      <w:r>
        <w:rPr>
          <w:rFonts w:asciiTheme="minorEastAsia" w:hAnsiTheme="minorEastAsia" w:hint="eastAsia"/>
          <w:szCs w:val="21"/>
        </w:rPr>
        <w:t>。</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r>
        <w:rPr>
          <w:rFonts w:asciiTheme="minorEastAsia" w:hAnsiTheme="minorEastAsia" w:cs="Times New Roman" w:hint="eastAsia"/>
          <w:color w:val="000000"/>
          <w:kern w:val="0"/>
          <w:szCs w:val="21"/>
        </w:rPr>
        <w:t>4</w:t>
      </w:r>
      <w:r>
        <w:rPr>
          <w:rFonts w:asciiTheme="minorEastAsia" w:hAnsiTheme="minorEastAsia" w:cs="Times New Roman" w:hint="eastAsia"/>
          <w:color w:val="000000"/>
          <w:kern w:val="0"/>
          <w:szCs w:val="21"/>
        </w:rPr>
        <w:t>）权益登记日当天买入的基金份额享有本次分红权益，权益登记日当天卖出的基金份额不享有本次分红权益。</w:t>
      </w:r>
    </w:p>
    <w:p w:rsidR="00AD4EB0" w:rsidRDefault="008633A8">
      <w:pPr>
        <w:widowControl/>
        <w:snapToGrid w:val="0"/>
        <w:spacing w:line="360" w:lineRule="auto"/>
        <w:ind w:firstLineChars="200" w:firstLine="562"/>
        <w:rPr>
          <w:rFonts w:asciiTheme="minorEastAsia" w:hAnsiTheme="minorEastAsia" w:cs="Times New Roman"/>
          <w:b/>
          <w:bCs/>
          <w:color w:val="000000"/>
          <w:kern w:val="0"/>
          <w:sz w:val="28"/>
          <w:szCs w:val="28"/>
        </w:rPr>
      </w:pPr>
      <w:r>
        <w:rPr>
          <w:rFonts w:asciiTheme="minorEastAsia" w:hAnsiTheme="minorEastAsia" w:cs="Times New Roman"/>
          <w:b/>
          <w:bCs/>
          <w:color w:val="000000"/>
          <w:kern w:val="0"/>
          <w:sz w:val="28"/>
          <w:szCs w:val="28"/>
        </w:rPr>
        <w:t>四、相关机构联系方式</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r>
        <w:rPr>
          <w:rFonts w:asciiTheme="minorEastAsia" w:hAnsiTheme="minorEastAsia" w:cs="Times New Roman"/>
          <w:color w:val="000000"/>
          <w:kern w:val="0"/>
          <w:szCs w:val="21"/>
        </w:rPr>
        <w:t>1</w:t>
      </w:r>
      <w:r>
        <w:rPr>
          <w:rFonts w:asciiTheme="minorEastAsia" w:hAnsiTheme="minorEastAsia" w:cs="Times New Roman" w:hint="eastAsia"/>
          <w:color w:val="000000"/>
          <w:kern w:val="0"/>
          <w:szCs w:val="21"/>
        </w:rPr>
        <w:t>）投资者可以到本基金的销售机构查询本基金本次分红的有关情况。</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w:t>
      </w:r>
      <w:r>
        <w:rPr>
          <w:rFonts w:asciiTheme="minorEastAsia" w:hAnsiTheme="minorEastAsia" w:cs="Times New Roman"/>
          <w:color w:val="000000"/>
          <w:kern w:val="0"/>
          <w:szCs w:val="21"/>
        </w:rPr>
        <w:t>2</w:t>
      </w:r>
      <w:r>
        <w:rPr>
          <w:rFonts w:asciiTheme="minorEastAsia" w:hAnsiTheme="minorEastAsia" w:cs="Times New Roman" w:hint="eastAsia"/>
          <w:color w:val="000000"/>
          <w:kern w:val="0"/>
          <w:szCs w:val="21"/>
        </w:rPr>
        <w:t>）咨询办法：</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①登陆本公司网站：</w:t>
      </w:r>
      <w:r>
        <w:rPr>
          <w:rFonts w:asciiTheme="minorEastAsia" w:hAnsiTheme="minorEastAsia" w:cs="Times New Roman" w:hint="eastAsia"/>
          <w:color w:val="000000"/>
          <w:kern w:val="0"/>
          <w:szCs w:val="21"/>
        </w:rPr>
        <w:t>fund.pingan.com</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②拨打本公司客户服务热线：</w:t>
      </w:r>
      <w:r>
        <w:rPr>
          <w:rFonts w:asciiTheme="minorEastAsia" w:hAnsiTheme="minorEastAsia" w:cs="Times New Roman" w:hint="eastAsia"/>
          <w:color w:val="000000"/>
          <w:kern w:val="0"/>
          <w:szCs w:val="21"/>
        </w:rPr>
        <w:t>400-800-4800</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③平安基金管理有限公司直销网点及本基金各代销机构的相关网点（详见本基金相关公告或届时在公司官网披露的基金销售机构名录）</w:t>
      </w:r>
    </w:p>
    <w:p w:rsidR="00AD4EB0" w:rsidRDefault="008633A8">
      <w:pPr>
        <w:widowControl/>
        <w:snapToGrid w:val="0"/>
        <w:spacing w:line="360" w:lineRule="auto"/>
        <w:ind w:firstLineChars="200" w:firstLine="562"/>
        <w:rPr>
          <w:rFonts w:asciiTheme="minorEastAsia" w:hAnsiTheme="minorEastAsia" w:cs="Times New Roman"/>
          <w:b/>
          <w:bCs/>
          <w:color w:val="000000"/>
          <w:kern w:val="0"/>
          <w:sz w:val="28"/>
          <w:szCs w:val="28"/>
        </w:rPr>
      </w:pPr>
      <w:r>
        <w:rPr>
          <w:rFonts w:asciiTheme="minorEastAsia" w:hAnsiTheme="minorEastAsia" w:cs="Times New Roman"/>
          <w:b/>
          <w:bCs/>
          <w:color w:val="000000"/>
          <w:kern w:val="0"/>
          <w:sz w:val="28"/>
          <w:szCs w:val="28"/>
        </w:rPr>
        <w:t>五、风险提示</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本基金分红并不因此提升或降低基金投资风险或投资收益。本基金管理人承诺以诚实信用、勤勉尽责的原则管理和运用基金资产，但不保证基金一定盈利，也不保证最低收益。基金的过往业绩及其净值高低并不预示其未来业绩表现。本基金管理人提醒投资者，投资者投资于基金前应认真阅读本基金的基金合同、招募说明书等文件。敬请投资者注意投资风险。</w:t>
      </w:r>
    </w:p>
    <w:p w:rsidR="00AD4EB0" w:rsidRDefault="008633A8">
      <w:pPr>
        <w:widowControl/>
        <w:snapToGrid w:val="0"/>
        <w:spacing w:line="360" w:lineRule="auto"/>
        <w:ind w:firstLineChars="200" w:firstLine="420"/>
        <w:rPr>
          <w:rFonts w:asciiTheme="minorEastAsia" w:hAnsiTheme="minorEastAsia" w:cs="Times New Roman"/>
          <w:color w:val="000000"/>
          <w:kern w:val="0"/>
          <w:szCs w:val="21"/>
        </w:rPr>
      </w:pPr>
      <w:r>
        <w:rPr>
          <w:rFonts w:asciiTheme="minorEastAsia" w:hAnsiTheme="minorEastAsia" w:cs="Times New Roman"/>
          <w:color w:val="000000"/>
          <w:kern w:val="0"/>
          <w:szCs w:val="21"/>
        </w:rPr>
        <w:t>特此公告</w:t>
      </w:r>
      <w:r>
        <w:rPr>
          <w:rFonts w:asciiTheme="minorEastAsia" w:hAnsiTheme="minorEastAsia" w:cs="Times New Roman" w:hint="eastAsia"/>
          <w:color w:val="000000"/>
          <w:kern w:val="0"/>
          <w:szCs w:val="21"/>
        </w:rPr>
        <w:t>。</w:t>
      </w:r>
    </w:p>
    <w:p w:rsidR="00AD4EB0" w:rsidRDefault="00AD4EB0">
      <w:pPr>
        <w:widowControl/>
        <w:snapToGrid w:val="0"/>
        <w:spacing w:line="360" w:lineRule="auto"/>
        <w:ind w:firstLineChars="200" w:firstLine="560"/>
        <w:rPr>
          <w:rFonts w:asciiTheme="minorEastAsia" w:hAnsiTheme="minorEastAsia" w:cs="Times New Roman"/>
          <w:color w:val="000000"/>
          <w:kern w:val="0"/>
          <w:sz w:val="28"/>
          <w:szCs w:val="28"/>
        </w:rPr>
      </w:pPr>
    </w:p>
    <w:p w:rsidR="00AD4EB0" w:rsidRDefault="008633A8">
      <w:pPr>
        <w:widowControl/>
        <w:snapToGrid w:val="0"/>
        <w:spacing w:line="360" w:lineRule="auto"/>
        <w:ind w:firstLineChars="200" w:firstLine="560"/>
        <w:jc w:val="right"/>
        <w:rPr>
          <w:rFonts w:asciiTheme="minorEastAsia" w:hAnsiTheme="minorEastAsia" w:cs="Times New Roman"/>
          <w:color w:val="000000"/>
          <w:kern w:val="0"/>
          <w:sz w:val="28"/>
          <w:szCs w:val="28"/>
        </w:rPr>
      </w:pPr>
      <w:r>
        <w:rPr>
          <w:rFonts w:asciiTheme="minorEastAsia" w:hAnsiTheme="minorEastAsia" w:cs="Times New Roman" w:hint="eastAsia"/>
          <w:color w:val="000000"/>
          <w:kern w:val="0"/>
          <w:sz w:val="28"/>
          <w:szCs w:val="28"/>
        </w:rPr>
        <w:t>平安</w:t>
      </w:r>
      <w:r>
        <w:rPr>
          <w:rFonts w:asciiTheme="minorEastAsia" w:hAnsiTheme="minorEastAsia" w:cs="Times New Roman"/>
          <w:color w:val="000000"/>
          <w:kern w:val="0"/>
          <w:sz w:val="28"/>
          <w:szCs w:val="28"/>
        </w:rPr>
        <w:t>基金</w:t>
      </w:r>
      <w:r>
        <w:rPr>
          <w:rFonts w:asciiTheme="minorEastAsia" w:hAnsiTheme="minorEastAsia" w:cs="Times New Roman" w:hint="eastAsia"/>
          <w:color w:val="000000"/>
          <w:kern w:val="0"/>
          <w:sz w:val="28"/>
          <w:szCs w:val="28"/>
        </w:rPr>
        <w:t>管理有限</w:t>
      </w:r>
      <w:r>
        <w:rPr>
          <w:rFonts w:asciiTheme="minorEastAsia" w:hAnsiTheme="minorEastAsia" w:cs="Times New Roman"/>
          <w:color w:val="000000"/>
          <w:kern w:val="0"/>
          <w:sz w:val="28"/>
          <w:szCs w:val="28"/>
        </w:rPr>
        <w:t>公司</w:t>
      </w:r>
    </w:p>
    <w:p w:rsidR="00AD4EB0" w:rsidRDefault="008633A8">
      <w:pPr>
        <w:widowControl/>
        <w:snapToGrid w:val="0"/>
        <w:spacing w:line="360" w:lineRule="auto"/>
        <w:ind w:right="280" w:firstLineChars="200" w:firstLine="560"/>
        <w:jc w:val="right"/>
        <w:rPr>
          <w:rFonts w:asciiTheme="minorEastAsia" w:hAnsiTheme="minorEastAsia"/>
          <w:sz w:val="28"/>
          <w:szCs w:val="28"/>
        </w:rPr>
      </w:pPr>
      <w:r>
        <w:rPr>
          <w:rFonts w:asciiTheme="minorEastAsia" w:hAnsiTheme="minorEastAsia" w:cs="Times New Roman"/>
          <w:color w:val="000000"/>
          <w:kern w:val="0"/>
          <w:sz w:val="28"/>
          <w:szCs w:val="28"/>
        </w:rPr>
        <w:t>202</w:t>
      </w:r>
      <w:r>
        <w:rPr>
          <w:rFonts w:asciiTheme="minorEastAsia" w:hAnsiTheme="minorEastAsia" w:cs="Times New Roman" w:hint="eastAsia"/>
          <w:color w:val="000000"/>
          <w:kern w:val="0"/>
          <w:sz w:val="28"/>
          <w:szCs w:val="28"/>
        </w:rPr>
        <w:t>5</w:t>
      </w:r>
      <w:r>
        <w:rPr>
          <w:rFonts w:asciiTheme="minorEastAsia" w:hAnsiTheme="minorEastAsia" w:cs="Times New Roman"/>
          <w:color w:val="000000"/>
          <w:kern w:val="0"/>
          <w:sz w:val="28"/>
          <w:szCs w:val="28"/>
        </w:rPr>
        <w:t>年</w:t>
      </w:r>
      <w:r>
        <w:rPr>
          <w:rFonts w:asciiTheme="minorEastAsia" w:hAnsiTheme="minorEastAsia" w:cs="Times New Roman" w:hint="eastAsia"/>
          <w:color w:val="000000"/>
          <w:kern w:val="0"/>
          <w:sz w:val="28"/>
          <w:szCs w:val="28"/>
        </w:rPr>
        <w:t>12</w:t>
      </w:r>
      <w:r>
        <w:rPr>
          <w:rFonts w:asciiTheme="minorEastAsia" w:hAnsiTheme="minorEastAsia" w:cs="Times New Roman"/>
          <w:color w:val="000000"/>
          <w:kern w:val="0"/>
          <w:sz w:val="28"/>
          <w:szCs w:val="28"/>
        </w:rPr>
        <w:t>月</w:t>
      </w:r>
      <w:r>
        <w:rPr>
          <w:rFonts w:asciiTheme="minorEastAsia" w:hAnsiTheme="minorEastAsia" w:cs="Times New Roman" w:hint="eastAsia"/>
          <w:color w:val="000000"/>
          <w:kern w:val="0"/>
          <w:sz w:val="28"/>
          <w:szCs w:val="28"/>
        </w:rPr>
        <w:t>19</w:t>
      </w:r>
      <w:r>
        <w:rPr>
          <w:rFonts w:asciiTheme="minorEastAsia" w:hAnsiTheme="minorEastAsia" w:cs="Times New Roman"/>
          <w:color w:val="000000"/>
          <w:kern w:val="0"/>
          <w:sz w:val="28"/>
          <w:szCs w:val="28"/>
        </w:rPr>
        <w:t>日</w:t>
      </w:r>
    </w:p>
    <w:sectPr w:rsidR="00AD4EB0" w:rsidSect="00AD4EB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EB0" w:rsidRDefault="00AD4EB0" w:rsidP="00AD4EB0">
      <w:r>
        <w:separator/>
      </w:r>
    </w:p>
  </w:endnote>
  <w:endnote w:type="continuationSeparator" w:id="0">
    <w:p w:rsidR="00AD4EB0" w:rsidRDefault="00AD4EB0" w:rsidP="00AD4E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charset w:val="86"/>
    <w:family w:val="auto"/>
    <w:pitch w:val="default"/>
    <w:sig w:usb0="00000000" w:usb1="00000000" w:usb2="00000010" w:usb3="00000000" w:csb0="00040000" w:csb1="00000000"/>
  </w:font>
  <w:font w:name="楷体">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EB0" w:rsidRDefault="008633A8">
    <w:pPr>
      <w:framePr w:wrap="around" w:vAnchor="text" w:hAnchor="page" w:x="1794" w:y="38"/>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sidR="00AD4EB0">
      <w:rPr>
        <w:rFonts w:ascii="宋体" w:eastAsia="宋体" w:hAnsi="宋体"/>
        <w:sz w:val="28"/>
        <w:szCs w:val="28"/>
      </w:rPr>
      <w:fldChar w:fldCharType="begin"/>
    </w:r>
    <w:r>
      <w:rPr>
        <w:rFonts w:ascii="宋体" w:eastAsia="宋体" w:hAnsi="宋体"/>
        <w:sz w:val="28"/>
        <w:szCs w:val="28"/>
      </w:rPr>
      <w:instrText xml:space="preserve">PAGE  </w:instrText>
    </w:r>
    <w:r w:rsidR="00AD4EB0">
      <w:rPr>
        <w:rFonts w:ascii="宋体" w:eastAsia="宋体" w:hAnsi="宋体"/>
        <w:sz w:val="28"/>
        <w:szCs w:val="28"/>
      </w:rPr>
      <w:fldChar w:fldCharType="separate"/>
    </w:r>
    <w:r>
      <w:rPr>
        <w:rFonts w:ascii="宋体" w:eastAsia="宋体" w:hAnsi="宋体"/>
        <w:sz w:val="28"/>
        <w:szCs w:val="28"/>
      </w:rPr>
      <w:t>4</w:t>
    </w:r>
    <w:r w:rsidR="00AD4EB0">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p w:rsidR="00AD4EB0" w:rsidRDefault="00AD4EB0">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EB0" w:rsidRDefault="00AD4EB0">
    <w:pPr>
      <w:pStyle w:val="a6"/>
      <w:ind w:firstLine="360"/>
    </w:pPr>
  </w:p>
  <w:p w:rsidR="00AD4EB0" w:rsidRDefault="008633A8">
    <w:pPr>
      <w:framePr w:wrap="around" w:vAnchor="text" w:hAnchor="page" w:x="8981" w:y="174"/>
      <w:tabs>
        <w:tab w:val="center" w:pos="4153"/>
        <w:tab w:val="right" w:pos="8306"/>
      </w:tabs>
      <w:snapToGrid w:val="0"/>
      <w:ind w:left="440" w:hanging="440"/>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 xml:space="preserve"> </w:t>
    </w:r>
    <w:r w:rsidR="00AD4EB0">
      <w:rPr>
        <w:rFonts w:ascii="宋体" w:eastAsia="宋体" w:hAnsi="宋体"/>
        <w:sz w:val="28"/>
        <w:szCs w:val="28"/>
      </w:rPr>
      <w:fldChar w:fldCharType="begin"/>
    </w:r>
    <w:r>
      <w:rPr>
        <w:rFonts w:ascii="宋体" w:eastAsia="宋体" w:hAnsi="宋体"/>
        <w:sz w:val="28"/>
        <w:szCs w:val="28"/>
      </w:rPr>
      <w:instrText xml:space="preserve">PAGE  </w:instrText>
    </w:r>
    <w:r w:rsidR="00AD4EB0">
      <w:rPr>
        <w:rFonts w:ascii="宋体" w:eastAsia="宋体" w:hAnsi="宋体"/>
        <w:sz w:val="28"/>
        <w:szCs w:val="28"/>
      </w:rPr>
      <w:fldChar w:fldCharType="separate"/>
    </w:r>
    <w:r>
      <w:rPr>
        <w:rFonts w:ascii="宋体" w:eastAsia="宋体" w:hAnsi="宋体"/>
        <w:noProof/>
        <w:sz w:val="28"/>
        <w:szCs w:val="28"/>
      </w:rPr>
      <w:t>1</w:t>
    </w:r>
    <w:r w:rsidR="00AD4EB0">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p w:rsidR="00AD4EB0" w:rsidRDefault="00AD4EB0">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EB0" w:rsidRDefault="00AD4EB0">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EB0" w:rsidRDefault="00AD4EB0" w:rsidP="00AD4EB0">
      <w:r>
        <w:separator/>
      </w:r>
    </w:p>
  </w:footnote>
  <w:footnote w:type="continuationSeparator" w:id="0">
    <w:p w:rsidR="00AD4EB0" w:rsidRDefault="00AD4EB0" w:rsidP="00AD4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EB0" w:rsidRDefault="00AD4EB0">
    <w:pPr>
      <w:pStyle w:val="a7"/>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EB0" w:rsidRDefault="00AD4EB0">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EB0" w:rsidRDefault="00AD4EB0">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43A4"/>
    <w:rsid w:val="000027E5"/>
    <w:rsid w:val="00002BD7"/>
    <w:rsid w:val="000039C4"/>
    <w:rsid w:val="00004D30"/>
    <w:rsid w:val="00011659"/>
    <w:rsid w:val="00012410"/>
    <w:rsid w:val="00023C2F"/>
    <w:rsid w:val="00027318"/>
    <w:rsid w:val="00031F96"/>
    <w:rsid w:val="00034166"/>
    <w:rsid w:val="000350C0"/>
    <w:rsid w:val="00040179"/>
    <w:rsid w:val="0004096B"/>
    <w:rsid w:val="0004256F"/>
    <w:rsid w:val="000437B3"/>
    <w:rsid w:val="00045F3D"/>
    <w:rsid w:val="000535BE"/>
    <w:rsid w:val="00057BEA"/>
    <w:rsid w:val="000673EE"/>
    <w:rsid w:val="00070B26"/>
    <w:rsid w:val="000720EF"/>
    <w:rsid w:val="000751D4"/>
    <w:rsid w:val="00075429"/>
    <w:rsid w:val="00077BC6"/>
    <w:rsid w:val="000826B2"/>
    <w:rsid w:val="0008749F"/>
    <w:rsid w:val="00091386"/>
    <w:rsid w:val="0009194B"/>
    <w:rsid w:val="00091DB9"/>
    <w:rsid w:val="00091EF5"/>
    <w:rsid w:val="00093616"/>
    <w:rsid w:val="000A35AF"/>
    <w:rsid w:val="000A3753"/>
    <w:rsid w:val="000A6E38"/>
    <w:rsid w:val="000B1367"/>
    <w:rsid w:val="000C017A"/>
    <w:rsid w:val="000C158F"/>
    <w:rsid w:val="000C3D82"/>
    <w:rsid w:val="000D0535"/>
    <w:rsid w:val="000D4BAE"/>
    <w:rsid w:val="000D7021"/>
    <w:rsid w:val="000E13BA"/>
    <w:rsid w:val="000F6AE1"/>
    <w:rsid w:val="000F6C29"/>
    <w:rsid w:val="000F76F8"/>
    <w:rsid w:val="001032B6"/>
    <w:rsid w:val="001039B0"/>
    <w:rsid w:val="00105112"/>
    <w:rsid w:val="00105F91"/>
    <w:rsid w:val="0010760E"/>
    <w:rsid w:val="001103B7"/>
    <w:rsid w:val="00112350"/>
    <w:rsid w:val="0012628D"/>
    <w:rsid w:val="001308DF"/>
    <w:rsid w:val="00135A12"/>
    <w:rsid w:val="001379B4"/>
    <w:rsid w:val="00137DA4"/>
    <w:rsid w:val="00144F7C"/>
    <w:rsid w:val="0014767B"/>
    <w:rsid w:val="00150C09"/>
    <w:rsid w:val="00153887"/>
    <w:rsid w:val="00155530"/>
    <w:rsid w:val="001561AB"/>
    <w:rsid w:val="001603E9"/>
    <w:rsid w:val="00160AEB"/>
    <w:rsid w:val="00165207"/>
    <w:rsid w:val="00174341"/>
    <w:rsid w:val="00175295"/>
    <w:rsid w:val="00180F5C"/>
    <w:rsid w:val="0018231A"/>
    <w:rsid w:val="00184F00"/>
    <w:rsid w:val="00185364"/>
    <w:rsid w:val="00187E7A"/>
    <w:rsid w:val="00192875"/>
    <w:rsid w:val="001A0473"/>
    <w:rsid w:val="001A5583"/>
    <w:rsid w:val="001A6D6A"/>
    <w:rsid w:val="001B7999"/>
    <w:rsid w:val="001C1E81"/>
    <w:rsid w:val="001C2C5E"/>
    <w:rsid w:val="001C4BD8"/>
    <w:rsid w:val="001E50C3"/>
    <w:rsid w:val="001E5B1A"/>
    <w:rsid w:val="001E5C75"/>
    <w:rsid w:val="001F2829"/>
    <w:rsid w:val="001F4ED9"/>
    <w:rsid w:val="001F751B"/>
    <w:rsid w:val="002013D4"/>
    <w:rsid w:val="00201E76"/>
    <w:rsid w:val="0020392E"/>
    <w:rsid w:val="00204A47"/>
    <w:rsid w:val="00205231"/>
    <w:rsid w:val="00207D7C"/>
    <w:rsid w:val="002102B6"/>
    <w:rsid w:val="002109BC"/>
    <w:rsid w:val="0021204D"/>
    <w:rsid w:val="00216D53"/>
    <w:rsid w:val="0021752C"/>
    <w:rsid w:val="00217AED"/>
    <w:rsid w:val="00223FE6"/>
    <w:rsid w:val="0022575C"/>
    <w:rsid w:val="00227231"/>
    <w:rsid w:val="00233E76"/>
    <w:rsid w:val="0023644A"/>
    <w:rsid w:val="00246450"/>
    <w:rsid w:val="00250F4B"/>
    <w:rsid w:val="0025170B"/>
    <w:rsid w:val="00251B74"/>
    <w:rsid w:val="00255223"/>
    <w:rsid w:val="00256E72"/>
    <w:rsid w:val="00256F88"/>
    <w:rsid w:val="00260D1B"/>
    <w:rsid w:val="002620CC"/>
    <w:rsid w:val="00274101"/>
    <w:rsid w:val="00275291"/>
    <w:rsid w:val="00276686"/>
    <w:rsid w:val="00282A64"/>
    <w:rsid w:val="00282B82"/>
    <w:rsid w:val="002836E1"/>
    <w:rsid w:val="002839E5"/>
    <w:rsid w:val="00284EC3"/>
    <w:rsid w:val="00285A06"/>
    <w:rsid w:val="00287A93"/>
    <w:rsid w:val="002909C9"/>
    <w:rsid w:val="00294E7C"/>
    <w:rsid w:val="00295FFD"/>
    <w:rsid w:val="002A5996"/>
    <w:rsid w:val="002A5F12"/>
    <w:rsid w:val="002A7149"/>
    <w:rsid w:val="002B3014"/>
    <w:rsid w:val="002B35C1"/>
    <w:rsid w:val="002C686B"/>
    <w:rsid w:val="002D0042"/>
    <w:rsid w:val="002D05E0"/>
    <w:rsid w:val="002D360B"/>
    <w:rsid w:val="002D4755"/>
    <w:rsid w:val="002E587C"/>
    <w:rsid w:val="002E7753"/>
    <w:rsid w:val="002E7C48"/>
    <w:rsid w:val="002F5748"/>
    <w:rsid w:val="002F57B0"/>
    <w:rsid w:val="003001EB"/>
    <w:rsid w:val="00300696"/>
    <w:rsid w:val="003039D6"/>
    <w:rsid w:val="003042EE"/>
    <w:rsid w:val="00306544"/>
    <w:rsid w:val="00313AA8"/>
    <w:rsid w:val="003158E8"/>
    <w:rsid w:val="00316589"/>
    <w:rsid w:val="003174C8"/>
    <w:rsid w:val="003233E3"/>
    <w:rsid w:val="0032622F"/>
    <w:rsid w:val="0033108C"/>
    <w:rsid w:val="00340D1D"/>
    <w:rsid w:val="003419BA"/>
    <w:rsid w:val="00345F81"/>
    <w:rsid w:val="003465E1"/>
    <w:rsid w:val="003639F6"/>
    <w:rsid w:val="0036627E"/>
    <w:rsid w:val="0036630A"/>
    <w:rsid w:val="00371C93"/>
    <w:rsid w:val="00376D50"/>
    <w:rsid w:val="003801EE"/>
    <w:rsid w:val="0038033A"/>
    <w:rsid w:val="00380732"/>
    <w:rsid w:val="00381A10"/>
    <w:rsid w:val="00382106"/>
    <w:rsid w:val="00383037"/>
    <w:rsid w:val="00383B27"/>
    <w:rsid w:val="00387E09"/>
    <w:rsid w:val="00387E60"/>
    <w:rsid w:val="003942FD"/>
    <w:rsid w:val="0039492C"/>
    <w:rsid w:val="0039564D"/>
    <w:rsid w:val="00396EBA"/>
    <w:rsid w:val="003A2879"/>
    <w:rsid w:val="003A422B"/>
    <w:rsid w:val="003A7237"/>
    <w:rsid w:val="003B27B0"/>
    <w:rsid w:val="003B4D05"/>
    <w:rsid w:val="003B5794"/>
    <w:rsid w:val="003B58D1"/>
    <w:rsid w:val="003C12B3"/>
    <w:rsid w:val="003C31E4"/>
    <w:rsid w:val="003C32CF"/>
    <w:rsid w:val="003C3428"/>
    <w:rsid w:val="003C5172"/>
    <w:rsid w:val="003C7AE5"/>
    <w:rsid w:val="003D381C"/>
    <w:rsid w:val="003D4281"/>
    <w:rsid w:val="003E068B"/>
    <w:rsid w:val="003E0D17"/>
    <w:rsid w:val="003E6372"/>
    <w:rsid w:val="003E69AD"/>
    <w:rsid w:val="003F68CA"/>
    <w:rsid w:val="00403182"/>
    <w:rsid w:val="00410083"/>
    <w:rsid w:val="004106FA"/>
    <w:rsid w:val="0041214E"/>
    <w:rsid w:val="00416727"/>
    <w:rsid w:val="004175ED"/>
    <w:rsid w:val="00417B68"/>
    <w:rsid w:val="0042342A"/>
    <w:rsid w:val="0043451E"/>
    <w:rsid w:val="004439CB"/>
    <w:rsid w:val="00451926"/>
    <w:rsid w:val="004553ED"/>
    <w:rsid w:val="0046015E"/>
    <w:rsid w:val="00462555"/>
    <w:rsid w:val="00466A5A"/>
    <w:rsid w:val="00466EF1"/>
    <w:rsid w:val="00471405"/>
    <w:rsid w:val="00476E59"/>
    <w:rsid w:val="00490730"/>
    <w:rsid w:val="00497D01"/>
    <w:rsid w:val="004A39E3"/>
    <w:rsid w:val="004A4F53"/>
    <w:rsid w:val="004A5A8D"/>
    <w:rsid w:val="004A6806"/>
    <w:rsid w:val="004B0E75"/>
    <w:rsid w:val="004B6D8E"/>
    <w:rsid w:val="004B7369"/>
    <w:rsid w:val="004C05AB"/>
    <w:rsid w:val="004C2A0F"/>
    <w:rsid w:val="004C56B6"/>
    <w:rsid w:val="004C613E"/>
    <w:rsid w:val="004E19E7"/>
    <w:rsid w:val="004E6A90"/>
    <w:rsid w:val="004F0E3E"/>
    <w:rsid w:val="00501E59"/>
    <w:rsid w:val="00521EE6"/>
    <w:rsid w:val="005328CE"/>
    <w:rsid w:val="005344DC"/>
    <w:rsid w:val="0053505B"/>
    <w:rsid w:val="00537F24"/>
    <w:rsid w:val="00541055"/>
    <w:rsid w:val="0054359E"/>
    <w:rsid w:val="00544705"/>
    <w:rsid w:val="00551D55"/>
    <w:rsid w:val="00552022"/>
    <w:rsid w:val="00557628"/>
    <w:rsid w:val="00563761"/>
    <w:rsid w:val="00564DA0"/>
    <w:rsid w:val="00564E15"/>
    <w:rsid w:val="00565825"/>
    <w:rsid w:val="00565C9C"/>
    <w:rsid w:val="00567C01"/>
    <w:rsid w:val="0057104F"/>
    <w:rsid w:val="0057119E"/>
    <w:rsid w:val="005731B8"/>
    <w:rsid w:val="0058062C"/>
    <w:rsid w:val="00584A8B"/>
    <w:rsid w:val="00587DC9"/>
    <w:rsid w:val="00591794"/>
    <w:rsid w:val="00591B67"/>
    <w:rsid w:val="00592DEA"/>
    <w:rsid w:val="00592F32"/>
    <w:rsid w:val="005A1A2F"/>
    <w:rsid w:val="005A2439"/>
    <w:rsid w:val="005A298A"/>
    <w:rsid w:val="005A4841"/>
    <w:rsid w:val="005A5343"/>
    <w:rsid w:val="005A7B4D"/>
    <w:rsid w:val="005B1637"/>
    <w:rsid w:val="005B7129"/>
    <w:rsid w:val="005C2356"/>
    <w:rsid w:val="005C5ED4"/>
    <w:rsid w:val="005C7753"/>
    <w:rsid w:val="005C7E93"/>
    <w:rsid w:val="005D2C07"/>
    <w:rsid w:val="005D306B"/>
    <w:rsid w:val="005D49F0"/>
    <w:rsid w:val="005D5C4F"/>
    <w:rsid w:val="005D7BA2"/>
    <w:rsid w:val="005E0D0B"/>
    <w:rsid w:val="005E6CAB"/>
    <w:rsid w:val="005E721E"/>
    <w:rsid w:val="005F4590"/>
    <w:rsid w:val="005F6925"/>
    <w:rsid w:val="005F7C7C"/>
    <w:rsid w:val="005F7E3D"/>
    <w:rsid w:val="00602BF5"/>
    <w:rsid w:val="00611779"/>
    <w:rsid w:val="006171EF"/>
    <w:rsid w:val="00617D7D"/>
    <w:rsid w:val="00625245"/>
    <w:rsid w:val="006253DA"/>
    <w:rsid w:val="00625827"/>
    <w:rsid w:val="006259AC"/>
    <w:rsid w:val="006266A3"/>
    <w:rsid w:val="00627BAD"/>
    <w:rsid w:val="00642C44"/>
    <w:rsid w:val="00651149"/>
    <w:rsid w:val="00653B3C"/>
    <w:rsid w:val="00654FFD"/>
    <w:rsid w:val="00656FF9"/>
    <w:rsid w:val="00660CD5"/>
    <w:rsid w:val="00661D14"/>
    <w:rsid w:val="00663535"/>
    <w:rsid w:val="00665E49"/>
    <w:rsid w:val="00666D67"/>
    <w:rsid w:val="006679A3"/>
    <w:rsid w:val="00667C26"/>
    <w:rsid w:val="006710D6"/>
    <w:rsid w:val="00673393"/>
    <w:rsid w:val="006759DF"/>
    <w:rsid w:val="00676F34"/>
    <w:rsid w:val="00680FEB"/>
    <w:rsid w:val="006813BE"/>
    <w:rsid w:val="00687F18"/>
    <w:rsid w:val="00690178"/>
    <w:rsid w:val="0069509E"/>
    <w:rsid w:val="006963F5"/>
    <w:rsid w:val="006A0B0B"/>
    <w:rsid w:val="006A5677"/>
    <w:rsid w:val="006B0E7D"/>
    <w:rsid w:val="006B1285"/>
    <w:rsid w:val="006B3B23"/>
    <w:rsid w:val="006C7C63"/>
    <w:rsid w:val="006D0EA7"/>
    <w:rsid w:val="006D5DB0"/>
    <w:rsid w:val="006E0A58"/>
    <w:rsid w:val="006E385A"/>
    <w:rsid w:val="006E4E37"/>
    <w:rsid w:val="006E5E3A"/>
    <w:rsid w:val="006F4C66"/>
    <w:rsid w:val="006F6D1D"/>
    <w:rsid w:val="006F7436"/>
    <w:rsid w:val="00707726"/>
    <w:rsid w:val="007115E1"/>
    <w:rsid w:val="00715B35"/>
    <w:rsid w:val="00716BBB"/>
    <w:rsid w:val="00722C23"/>
    <w:rsid w:val="00727A21"/>
    <w:rsid w:val="00733904"/>
    <w:rsid w:val="0074034C"/>
    <w:rsid w:val="00743CAC"/>
    <w:rsid w:val="00746A77"/>
    <w:rsid w:val="0076159B"/>
    <w:rsid w:val="00763147"/>
    <w:rsid w:val="0076459A"/>
    <w:rsid w:val="007655C5"/>
    <w:rsid w:val="00766A16"/>
    <w:rsid w:val="007702C6"/>
    <w:rsid w:val="00772773"/>
    <w:rsid w:val="00776170"/>
    <w:rsid w:val="007779B2"/>
    <w:rsid w:val="007836A4"/>
    <w:rsid w:val="007854F7"/>
    <w:rsid w:val="007873B1"/>
    <w:rsid w:val="007903FF"/>
    <w:rsid w:val="00791E6B"/>
    <w:rsid w:val="007A288E"/>
    <w:rsid w:val="007A715F"/>
    <w:rsid w:val="007B1E74"/>
    <w:rsid w:val="007B307F"/>
    <w:rsid w:val="007B46E1"/>
    <w:rsid w:val="007B62FB"/>
    <w:rsid w:val="007B6520"/>
    <w:rsid w:val="007C2AC1"/>
    <w:rsid w:val="007C3433"/>
    <w:rsid w:val="007C5ED0"/>
    <w:rsid w:val="007C6560"/>
    <w:rsid w:val="007C67A8"/>
    <w:rsid w:val="007C7482"/>
    <w:rsid w:val="007C7F2F"/>
    <w:rsid w:val="007D7C3D"/>
    <w:rsid w:val="007E4951"/>
    <w:rsid w:val="007F24C1"/>
    <w:rsid w:val="007F25CC"/>
    <w:rsid w:val="0080331F"/>
    <w:rsid w:val="00816F17"/>
    <w:rsid w:val="00821078"/>
    <w:rsid w:val="008217F7"/>
    <w:rsid w:val="0082281B"/>
    <w:rsid w:val="0082642E"/>
    <w:rsid w:val="0083156C"/>
    <w:rsid w:val="0084054D"/>
    <w:rsid w:val="0084663D"/>
    <w:rsid w:val="008560D2"/>
    <w:rsid w:val="0086131A"/>
    <w:rsid w:val="008621DB"/>
    <w:rsid w:val="008633A8"/>
    <w:rsid w:val="00873495"/>
    <w:rsid w:val="0087492E"/>
    <w:rsid w:val="008762C5"/>
    <w:rsid w:val="00881187"/>
    <w:rsid w:val="00883514"/>
    <w:rsid w:val="00884CD8"/>
    <w:rsid w:val="00886E00"/>
    <w:rsid w:val="008904EE"/>
    <w:rsid w:val="00890E94"/>
    <w:rsid w:val="008946A9"/>
    <w:rsid w:val="00896DFB"/>
    <w:rsid w:val="00897721"/>
    <w:rsid w:val="008A174D"/>
    <w:rsid w:val="008A32D4"/>
    <w:rsid w:val="008A550F"/>
    <w:rsid w:val="008B2B99"/>
    <w:rsid w:val="008B5E7E"/>
    <w:rsid w:val="008B7E2F"/>
    <w:rsid w:val="008C04DB"/>
    <w:rsid w:val="008C42A0"/>
    <w:rsid w:val="008C534F"/>
    <w:rsid w:val="008C56FF"/>
    <w:rsid w:val="008D01C8"/>
    <w:rsid w:val="008D07F6"/>
    <w:rsid w:val="008D4F59"/>
    <w:rsid w:val="008D527A"/>
    <w:rsid w:val="008E3430"/>
    <w:rsid w:val="008E4425"/>
    <w:rsid w:val="008E674F"/>
    <w:rsid w:val="008F6163"/>
    <w:rsid w:val="008F6468"/>
    <w:rsid w:val="008F68F1"/>
    <w:rsid w:val="0090459C"/>
    <w:rsid w:val="00910CE0"/>
    <w:rsid w:val="00916026"/>
    <w:rsid w:val="0091731C"/>
    <w:rsid w:val="00917B17"/>
    <w:rsid w:val="009211D4"/>
    <w:rsid w:val="009237A0"/>
    <w:rsid w:val="00925DA5"/>
    <w:rsid w:val="00933C69"/>
    <w:rsid w:val="009372F1"/>
    <w:rsid w:val="00937D78"/>
    <w:rsid w:val="00947BB6"/>
    <w:rsid w:val="009532D4"/>
    <w:rsid w:val="00955854"/>
    <w:rsid w:val="009616F3"/>
    <w:rsid w:val="009617FB"/>
    <w:rsid w:val="0096318B"/>
    <w:rsid w:val="009664BC"/>
    <w:rsid w:val="00966EC6"/>
    <w:rsid w:val="00975273"/>
    <w:rsid w:val="00975EA8"/>
    <w:rsid w:val="00977D9C"/>
    <w:rsid w:val="00981E05"/>
    <w:rsid w:val="0098366A"/>
    <w:rsid w:val="00985A89"/>
    <w:rsid w:val="00985E59"/>
    <w:rsid w:val="009876CF"/>
    <w:rsid w:val="00990DBD"/>
    <w:rsid w:val="009918A8"/>
    <w:rsid w:val="00997EE9"/>
    <w:rsid w:val="009A5721"/>
    <w:rsid w:val="009A69A4"/>
    <w:rsid w:val="009A6C7B"/>
    <w:rsid w:val="009A7B36"/>
    <w:rsid w:val="009B0BD8"/>
    <w:rsid w:val="009B23DF"/>
    <w:rsid w:val="009B2495"/>
    <w:rsid w:val="009B6673"/>
    <w:rsid w:val="009C23A8"/>
    <w:rsid w:val="009E3B39"/>
    <w:rsid w:val="009E3EA5"/>
    <w:rsid w:val="009F0225"/>
    <w:rsid w:val="009F10C5"/>
    <w:rsid w:val="009F3916"/>
    <w:rsid w:val="009F7476"/>
    <w:rsid w:val="00A0671F"/>
    <w:rsid w:val="00A12842"/>
    <w:rsid w:val="00A13047"/>
    <w:rsid w:val="00A142FA"/>
    <w:rsid w:val="00A35112"/>
    <w:rsid w:val="00A3677C"/>
    <w:rsid w:val="00A36858"/>
    <w:rsid w:val="00A37125"/>
    <w:rsid w:val="00A41BF6"/>
    <w:rsid w:val="00A45B04"/>
    <w:rsid w:val="00A54978"/>
    <w:rsid w:val="00A57B35"/>
    <w:rsid w:val="00A6394C"/>
    <w:rsid w:val="00A64723"/>
    <w:rsid w:val="00A6578A"/>
    <w:rsid w:val="00A714D9"/>
    <w:rsid w:val="00A72511"/>
    <w:rsid w:val="00A7555C"/>
    <w:rsid w:val="00A77A80"/>
    <w:rsid w:val="00A80069"/>
    <w:rsid w:val="00A80B18"/>
    <w:rsid w:val="00A832AF"/>
    <w:rsid w:val="00A84A90"/>
    <w:rsid w:val="00A87391"/>
    <w:rsid w:val="00A92B88"/>
    <w:rsid w:val="00AA6738"/>
    <w:rsid w:val="00AA6886"/>
    <w:rsid w:val="00AA7D26"/>
    <w:rsid w:val="00AB3C0E"/>
    <w:rsid w:val="00AB587F"/>
    <w:rsid w:val="00AB708E"/>
    <w:rsid w:val="00AC4229"/>
    <w:rsid w:val="00AC4EF2"/>
    <w:rsid w:val="00AC5579"/>
    <w:rsid w:val="00AD1221"/>
    <w:rsid w:val="00AD4EB0"/>
    <w:rsid w:val="00AD5453"/>
    <w:rsid w:val="00AF01AA"/>
    <w:rsid w:val="00AF04FA"/>
    <w:rsid w:val="00AF0E25"/>
    <w:rsid w:val="00AF0FFF"/>
    <w:rsid w:val="00AF1BA4"/>
    <w:rsid w:val="00AF3833"/>
    <w:rsid w:val="00B0264E"/>
    <w:rsid w:val="00B0332D"/>
    <w:rsid w:val="00B055D7"/>
    <w:rsid w:val="00B06AE2"/>
    <w:rsid w:val="00B11C7E"/>
    <w:rsid w:val="00B34A70"/>
    <w:rsid w:val="00B34F68"/>
    <w:rsid w:val="00B369FA"/>
    <w:rsid w:val="00B4029E"/>
    <w:rsid w:val="00B41B1E"/>
    <w:rsid w:val="00B42163"/>
    <w:rsid w:val="00B44304"/>
    <w:rsid w:val="00B45911"/>
    <w:rsid w:val="00B46107"/>
    <w:rsid w:val="00B46D04"/>
    <w:rsid w:val="00B47FCE"/>
    <w:rsid w:val="00B50CF8"/>
    <w:rsid w:val="00B53B70"/>
    <w:rsid w:val="00B6459F"/>
    <w:rsid w:val="00B672EF"/>
    <w:rsid w:val="00B67BD3"/>
    <w:rsid w:val="00B71224"/>
    <w:rsid w:val="00B74832"/>
    <w:rsid w:val="00B826D2"/>
    <w:rsid w:val="00B83E37"/>
    <w:rsid w:val="00B85F1F"/>
    <w:rsid w:val="00B8726C"/>
    <w:rsid w:val="00B9298E"/>
    <w:rsid w:val="00B92B09"/>
    <w:rsid w:val="00B92DA1"/>
    <w:rsid w:val="00B93F94"/>
    <w:rsid w:val="00B942EA"/>
    <w:rsid w:val="00B96065"/>
    <w:rsid w:val="00BA0583"/>
    <w:rsid w:val="00BA2D1D"/>
    <w:rsid w:val="00BA72FE"/>
    <w:rsid w:val="00BB3F39"/>
    <w:rsid w:val="00BB5009"/>
    <w:rsid w:val="00BB7F43"/>
    <w:rsid w:val="00BB7FE6"/>
    <w:rsid w:val="00BC15F4"/>
    <w:rsid w:val="00BC57DC"/>
    <w:rsid w:val="00BC5F14"/>
    <w:rsid w:val="00BD4F83"/>
    <w:rsid w:val="00BD66DD"/>
    <w:rsid w:val="00BE16D1"/>
    <w:rsid w:val="00C00153"/>
    <w:rsid w:val="00C00A47"/>
    <w:rsid w:val="00C01FA6"/>
    <w:rsid w:val="00C03CF5"/>
    <w:rsid w:val="00C042FD"/>
    <w:rsid w:val="00C06E8E"/>
    <w:rsid w:val="00C12B86"/>
    <w:rsid w:val="00C16458"/>
    <w:rsid w:val="00C31298"/>
    <w:rsid w:val="00C31F97"/>
    <w:rsid w:val="00C35598"/>
    <w:rsid w:val="00C35A1B"/>
    <w:rsid w:val="00C3651C"/>
    <w:rsid w:val="00C41E88"/>
    <w:rsid w:val="00C42111"/>
    <w:rsid w:val="00C52962"/>
    <w:rsid w:val="00C52C23"/>
    <w:rsid w:val="00C53287"/>
    <w:rsid w:val="00C55193"/>
    <w:rsid w:val="00C55FD1"/>
    <w:rsid w:val="00C5612B"/>
    <w:rsid w:val="00C653FC"/>
    <w:rsid w:val="00C70954"/>
    <w:rsid w:val="00C70956"/>
    <w:rsid w:val="00C75576"/>
    <w:rsid w:val="00C91091"/>
    <w:rsid w:val="00C95A28"/>
    <w:rsid w:val="00CA33C1"/>
    <w:rsid w:val="00CA7804"/>
    <w:rsid w:val="00CB2057"/>
    <w:rsid w:val="00CB4C31"/>
    <w:rsid w:val="00CB6B27"/>
    <w:rsid w:val="00CC0198"/>
    <w:rsid w:val="00CC2B45"/>
    <w:rsid w:val="00CC46AE"/>
    <w:rsid w:val="00CD5AA5"/>
    <w:rsid w:val="00CE2388"/>
    <w:rsid w:val="00CE4A9B"/>
    <w:rsid w:val="00CE518E"/>
    <w:rsid w:val="00CE6EC3"/>
    <w:rsid w:val="00CE7EAA"/>
    <w:rsid w:val="00CF24AA"/>
    <w:rsid w:val="00CF426D"/>
    <w:rsid w:val="00CF5824"/>
    <w:rsid w:val="00CF58D6"/>
    <w:rsid w:val="00CF649E"/>
    <w:rsid w:val="00D02EB9"/>
    <w:rsid w:val="00D05CD6"/>
    <w:rsid w:val="00D05F86"/>
    <w:rsid w:val="00D07EAA"/>
    <w:rsid w:val="00D10176"/>
    <w:rsid w:val="00D12B43"/>
    <w:rsid w:val="00D171E6"/>
    <w:rsid w:val="00D238F4"/>
    <w:rsid w:val="00D26305"/>
    <w:rsid w:val="00D264CF"/>
    <w:rsid w:val="00D31230"/>
    <w:rsid w:val="00D31362"/>
    <w:rsid w:val="00D31858"/>
    <w:rsid w:val="00D3235D"/>
    <w:rsid w:val="00D32F16"/>
    <w:rsid w:val="00D34342"/>
    <w:rsid w:val="00D37F52"/>
    <w:rsid w:val="00D4268C"/>
    <w:rsid w:val="00D44BFA"/>
    <w:rsid w:val="00D50D7A"/>
    <w:rsid w:val="00D5305F"/>
    <w:rsid w:val="00D6137B"/>
    <w:rsid w:val="00D65A2A"/>
    <w:rsid w:val="00D74D81"/>
    <w:rsid w:val="00D94A66"/>
    <w:rsid w:val="00DA697A"/>
    <w:rsid w:val="00DB0DB0"/>
    <w:rsid w:val="00DB1029"/>
    <w:rsid w:val="00DB7F97"/>
    <w:rsid w:val="00DC1F38"/>
    <w:rsid w:val="00DD0A9D"/>
    <w:rsid w:val="00DD0D80"/>
    <w:rsid w:val="00DD297A"/>
    <w:rsid w:val="00DD63A6"/>
    <w:rsid w:val="00DD685C"/>
    <w:rsid w:val="00DD6D29"/>
    <w:rsid w:val="00DE0E68"/>
    <w:rsid w:val="00DE1853"/>
    <w:rsid w:val="00DE35D6"/>
    <w:rsid w:val="00DE7E60"/>
    <w:rsid w:val="00DF0F2F"/>
    <w:rsid w:val="00DF1F73"/>
    <w:rsid w:val="00DF359D"/>
    <w:rsid w:val="00DF468D"/>
    <w:rsid w:val="00DF6C16"/>
    <w:rsid w:val="00DF7D54"/>
    <w:rsid w:val="00E031C9"/>
    <w:rsid w:val="00E07670"/>
    <w:rsid w:val="00E076C6"/>
    <w:rsid w:val="00E11927"/>
    <w:rsid w:val="00E11BAD"/>
    <w:rsid w:val="00E11EC1"/>
    <w:rsid w:val="00E1332D"/>
    <w:rsid w:val="00E15E86"/>
    <w:rsid w:val="00E3261D"/>
    <w:rsid w:val="00E33575"/>
    <w:rsid w:val="00E34559"/>
    <w:rsid w:val="00E36023"/>
    <w:rsid w:val="00E5267A"/>
    <w:rsid w:val="00E54A4F"/>
    <w:rsid w:val="00E560EA"/>
    <w:rsid w:val="00E57DBA"/>
    <w:rsid w:val="00E669FF"/>
    <w:rsid w:val="00E67996"/>
    <w:rsid w:val="00E71534"/>
    <w:rsid w:val="00E71780"/>
    <w:rsid w:val="00E719E7"/>
    <w:rsid w:val="00E745E8"/>
    <w:rsid w:val="00E7608B"/>
    <w:rsid w:val="00E81716"/>
    <w:rsid w:val="00E8221B"/>
    <w:rsid w:val="00E8368B"/>
    <w:rsid w:val="00E840CF"/>
    <w:rsid w:val="00E84691"/>
    <w:rsid w:val="00E876BB"/>
    <w:rsid w:val="00E96FDA"/>
    <w:rsid w:val="00E97AAA"/>
    <w:rsid w:val="00EA53FC"/>
    <w:rsid w:val="00EA68FB"/>
    <w:rsid w:val="00EB3DB3"/>
    <w:rsid w:val="00EC00FD"/>
    <w:rsid w:val="00EC43A4"/>
    <w:rsid w:val="00EC5B89"/>
    <w:rsid w:val="00EC633C"/>
    <w:rsid w:val="00ED437F"/>
    <w:rsid w:val="00ED630F"/>
    <w:rsid w:val="00ED72A2"/>
    <w:rsid w:val="00EE39EC"/>
    <w:rsid w:val="00EE5F0D"/>
    <w:rsid w:val="00EF7326"/>
    <w:rsid w:val="00F03DF6"/>
    <w:rsid w:val="00F10368"/>
    <w:rsid w:val="00F12398"/>
    <w:rsid w:val="00F14767"/>
    <w:rsid w:val="00F151AF"/>
    <w:rsid w:val="00F155DE"/>
    <w:rsid w:val="00F200A6"/>
    <w:rsid w:val="00F31331"/>
    <w:rsid w:val="00F32180"/>
    <w:rsid w:val="00F36476"/>
    <w:rsid w:val="00F36821"/>
    <w:rsid w:val="00F42FC6"/>
    <w:rsid w:val="00F44B4F"/>
    <w:rsid w:val="00F466C8"/>
    <w:rsid w:val="00F46DF2"/>
    <w:rsid w:val="00F4783A"/>
    <w:rsid w:val="00F47F4C"/>
    <w:rsid w:val="00F535D0"/>
    <w:rsid w:val="00F54182"/>
    <w:rsid w:val="00F548DF"/>
    <w:rsid w:val="00F56056"/>
    <w:rsid w:val="00F648C8"/>
    <w:rsid w:val="00F65A04"/>
    <w:rsid w:val="00F662C1"/>
    <w:rsid w:val="00F6677E"/>
    <w:rsid w:val="00F67944"/>
    <w:rsid w:val="00F706E4"/>
    <w:rsid w:val="00F72E70"/>
    <w:rsid w:val="00F77FC6"/>
    <w:rsid w:val="00F82B9F"/>
    <w:rsid w:val="00F86E10"/>
    <w:rsid w:val="00F92EA9"/>
    <w:rsid w:val="00F93DA9"/>
    <w:rsid w:val="00F9471A"/>
    <w:rsid w:val="00F95B98"/>
    <w:rsid w:val="00FA3596"/>
    <w:rsid w:val="00FA3611"/>
    <w:rsid w:val="00FA3CA7"/>
    <w:rsid w:val="00FB3CCD"/>
    <w:rsid w:val="00FB547A"/>
    <w:rsid w:val="00FB5F10"/>
    <w:rsid w:val="00FB6557"/>
    <w:rsid w:val="00FC1E2D"/>
    <w:rsid w:val="00FD04A4"/>
    <w:rsid w:val="00FD2BBB"/>
    <w:rsid w:val="00FD693B"/>
    <w:rsid w:val="00FE1FE2"/>
    <w:rsid w:val="00FF4A2F"/>
    <w:rsid w:val="02B62767"/>
    <w:rsid w:val="097670FE"/>
    <w:rsid w:val="0D1C01C9"/>
    <w:rsid w:val="133F5CF5"/>
    <w:rsid w:val="183C6E48"/>
    <w:rsid w:val="1A10239D"/>
    <w:rsid w:val="1CEE4FEA"/>
    <w:rsid w:val="212456B1"/>
    <w:rsid w:val="241565BF"/>
    <w:rsid w:val="252C3D81"/>
    <w:rsid w:val="275061EA"/>
    <w:rsid w:val="407664C4"/>
    <w:rsid w:val="441817A3"/>
    <w:rsid w:val="4C100958"/>
    <w:rsid w:val="62E27698"/>
    <w:rsid w:val="6BE32379"/>
    <w:rsid w:val="6CA80D07"/>
    <w:rsid w:val="7A951F62"/>
    <w:rsid w:val="7ADF1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EB0"/>
    <w:pPr>
      <w:widowControl w:val="0"/>
      <w:jc w:val="both"/>
    </w:pPr>
    <w:rPr>
      <w:kern w:val="2"/>
      <w:sz w:val="21"/>
      <w:szCs w:val="22"/>
    </w:rPr>
  </w:style>
  <w:style w:type="paragraph" w:styleId="1">
    <w:name w:val="heading 1"/>
    <w:basedOn w:val="a"/>
    <w:next w:val="a"/>
    <w:link w:val="1Char"/>
    <w:uiPriority w:val="9"/>
    <w:qFormat/>
    <w:rsid w:val="00AD4EB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D4E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4EB0"/>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unhideWhenUsed/>
    <w:qFormat/>
    <w:rsid w:val="00AD4E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AD4EB0"/>
    <w:pPr>
      <w:jc w:val="left"/>
    </w:pPr>
  </w:style>
  <w:style w:type="paragraph" w:styleId="30">
    <w:name w:val="toc 3"/>
    <w:basedOn w:val="a"/>
    <w:next w:val="a"/>
    <w:uiPriority w:val="39"/>
    <w:unhideWhenUsed/>
    <w:qFormat/>
    <w:rsid w:val="00AD4EB0"/>
    <w:pPr>
      <w:ind w:leftChars="400" w:left="840"/>
    </w:pPr>
  </w:style>
  <w:style w:type="paragraph" w:styleId="a4">
    <w:name w:val="endnote text"/>
    <w:basedOn w:val="a"/>
    <w:link w:val="Char0"/>
    <w:uiPriority w:val="99"/>
    <w:semiHidden/>
    <w:unhideWhenUsed/>
    <w:qFormat/>
    <w:rsid w:val="00AD4EB0"/>
    <w:pPr>
      <w:snapToGrid w:val="0"/>
      <w:jc w:val="left"/>
    </w:pPr>
  </w:style>
  <w:style w:type="paragraph" w:styleId="a5">
    <w:name w:val="Balloon Text"/>
    <w:basedOn w:val="a"/>
    <w:link w:val="Char1"/>
    <w:uiPriority w:val="99"/>
    <w:semiHidden/>
    <w:unhideWhenUsed/>
    <w:qFormat/>
    <w:rsid w:val="00AD4EB0"/>
    <w:rPr>
      <w:sz w:val="18"/>
      <w:szCs w:val="18"/>
    </w:rPr>
  </w:style>
  <w:style w:type="paragraph" w:styleId="a6">
    <w:name w:val="footer"/>
    <w:basedOn w:val="a"/>
    <w:link w:val="Char2"/>
    <w:uiPriority w:val="99"/>
    <w:unhideWhenUsed/>
    <w:qFormat/>
    <w:rsid w:val="00AD4EB0"/>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D4EB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AD4EB0"/>
    <w:pPr>
      <w:tabs>
        <w:tab w:val="right" w:leader="dot" w:pos="8296"/>
      </w:tabs>
    </w:pPr>
    <w:rPr>
      <w:rFonts w:ascii="Times New Roman" w:eastAsia="方正仿宋简体" w:hAnsi="Times New Roman"/>
      <w:b/>
    </w:rPr>
  </w:style>
  <w:style w:type="paragraph" w:styleId="20">
    <w:name w:val="toc 2"/>
    <w:basedOn w:val="a"/>
    <w:next w:val="a"/>
    <w:uiPriority w:val="39"/>
    <w:unhideWhenUsed/>
    <w:qFormat/>
    <w:rsid w:val="00AD4EB0"/>
    <w:pPr>
      <w:ind w:leftChars="200" w:left="420"/>
    </w:pPr>
  </w:style>
  <w:style w:type="paragraph" w:styleId="a8">
    <w:name w:val="Normal (Web)"/>
    <w:basedOn w:val="a"/>
    <w:uiPriority w:val="99"/>
    <w:unhideWhenUsed/>
    <w:qFormat/>
    <w:rsid w:val="00AD4EB0"/>
    <w:pPr>
      <w:widowControl/>
      <w:spacing w:before="100" w:beforeAutospacing="1" w:after="100" w:afterAutospacing="1"/>
      <w:jc w:val="left"/>
    </w:pPr>
    <w:rPr>
      <w:rFonts w:ascii="宋体" w:eastAsia="宋体" w:hAnsi="宋体" w:cs="Times New Roman"/>
      <w:kern w:val="0"/>
      <w:sz w:val="24"/>
      <w:szCs w:val="20"/>
    </w:rPr>
  </w:style>
  <w:style w:type="paragraph" w:styleId="a9">
    <w:name w:val="Title"/>
    <w:basedOn w:val="a"/>
    <w:next w:val="a"/>
    <w:link w:val="Char4"/>
    <w:uiPriority w:val="10"/>
    <w:qFormat/>
    <w:rsid w:val="00AD4EB0"/>
    <w:pPr>
      <w:spacing w:before="240" w:after="60" w:line="360" w:lineRule="auto"/>
      <w:ind w:firstLineChars="200" w:firstLine="200"/>
      <w:jc w:val="center"/>
      <w:outlineLvl w:val="0"/>
    </w:pPr>
    <w:rPr>
      <w:rFonts w:ascii="Cambria" w:eastAsia="楷体" w:hAnsi="Cambria" w:cs="Times New Roman"/>
      <w:b/>
      <w:sz w:val="36"/>
      <w:szCs w:val="20"/>
    </w:rPr>
  </w:style>
  <w:style w:type="paragraph" w:styleId="aa">
    <w:name w:val="annotation subject"/>
    <w:basedOn w:val="a3"/>
    <w:next w:val="a3"/>
    <w:link w:val="Char5"/>
    <w:uiPriority w:val="99"/>
    <w:semiHidden/>
    <w:unhideWhenUsed/>
    <w:qFormat/>
    <w:rsid w:val="00AD4EB0"/>
    <w:rPr>
      <w:b/>
      <w:bCs/>
    </w:rPr>
  </w:style>
  <w:style w:type="table" w:styleId="ab">
    <w:name w:val="Table Grid"/>
    <w:basedOn w:val="a1"/>
    <w:uiPriority w:val="59"/>
    <w:qFormat/>
    <w:rsid w:val="00AD4EB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ndnote reference"/>
    <w:basedOn w:val="a0"/>
    <w:uiPriority w:val="99"/>
    <w:semiHidden/>
    <w:unhideWhenUsed/>
    <w:qFormat/>
    <w:rsid w:val="00AD4EB0"/>
    <w:rPr>
      <w:vertAlign w:val="superscript"/>
    </w:rPr>
  </w:style>
  <w:style w:type="character" w:styleId="ad">
    <w:name w:val="Hyperlink"/>
    <w:basedOn w:val="a0"/>
    <w:uiPriority w:val="99"/>
    <w:unhideWhenUsed/>
    <w:qFormat/>
    <w:rsid w:val="00AD4EB0"/>
    <w:rPr>
      <w:color w:val="0000FF" w:themeColor="hyperlink"/>
      <w:u w:val="single"/>
    </w:rPr>
  </w:style>
  <w:style w:type="character" w:styleId="ae">
    <w:name w:val="annotation reference"/>
    <w:basedOn w:val="a0"/>
    <w:uiPriority w:val="99"/>
    <w:unhideWhenUsed/>
    <w:qFormat/>
    <w:rsid w:val="00AD4EB0"/>
    <w:rPr>
      <w:sz w:val="21"/>
      <w:szCs w:val="21"/>
    </w:rPr>
  </w:style>
  <w:style w:type="character" w:customStyle="1" w:styleId="Char3">
    <w:name w:val="页眉 Char"/>
    <w:basedOn w:val="a0"/>
    <w:link w:val="a7"/>
    <w:uiPriority w:val="99"/>
    <w:qFormat/>
    <w:rsid w:val="00AD4EB0"/>
    <w:rPr>
      <w:sz w:val="18"/>
      <w:szCs w:val="18"/>
    </w:rPr>
  </w:style>
  <w:style w:type="character" w:customStyle="1" w:styleId="Char2">
    <w:name w:val="页脚 Char"/>
    <w:basedOn w:val="a0"/>
    <w:link w:val="a6"/>
    <w:uiPriority w:val="99"/>
    <w:qFormat/>
    <w:rsid w:val="00AD4EB0"/>
    <w:rPr>
      <w:sz w:val="18"/>
      <w:szCs w:val="18"/>
    </w:rPr>
  </w:style>
  <w:style w:type="character" w:customStyle="1" w:styleId="1Char">
    <w:name w:val="标题 1 Char"/>
    <w:basedOn w:val="a0"/>
    <w:link w:val="1"/>
    <w:uiPriority w:val="9"/>
    <w:qFormat/>
    <w:rsid w:val="00AD4EB0"/>
    <w:rPr>
      <w:b/>
      <w:bCs/>
      <w:kern w:val="44"/>
      <w:sz w:val="44"/>
      <w:szCs w:val="44"/>
    </w:rPr>
  </w:style>
  <w:style w:type="character" w:customStyle="1" w:styleId="3Char">
    <w:name w:val="标题 3 Char"/>
    <w:basedOn w:val="a0"/>
    <w:link w:val="3"/>
    <w:qFormat/>
    <w:rsid w:val="00AD4EB0"/>
    <w:rPr>
      <w:rFonts w:ascii="Times New Roman" w:eastAsia="宋体" w:hAnsi="Times New Roman" w:cs="Times New Roman"/>
      <w:b/>
      <w:bCs/>
      <w:sz w:val="32"/>
      <w:szCs w:val="32"/>
    </w:rPr>
  </w:style>
  <w:style w:type="character" w:customStyle="1" w:styleId="Char">
    <w:name w:val="批注文字 Char"/>
    <w:basedOn w:val="a0"/>
    <w:link w:val="a3"/>
    <w:uiPriority w:val="99"/>
    <w:qFormat/>
    <w:rsid w:val="00AD4EB0"/>
  </w:style>
  <w:style w:type="character" w:customStyle="1" w:styleId="stylekwd1">
    <w:name w:val="style_kwd1"/>
    <w:basedOn w:val="a0"/>
    <w:qFormat/>
    <w:rsid w:val="00AD4EB0"/>
    <w:rPr>
      <w:shd w:val="clear" w:color="auto" w:fill="FFFFA6"/>
    </w:rPr>
  </w:style>
  <w:style w:type="character" w:customStyle="1" w:styleId="2Char">
    <w:name w:val="标题 2 Char"/>
    <w:basedOn w:val="a0"/>
    <w:link w:val="2"/>
    <w:uiPriority w:val="9"/>
    <w:qFormat/>
    <w:rsid w:val="00AD4EB0"/>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sid w:val="00AD4EB0"/>
    <w:rPr>
      <w:sz w:val="18"/>
      <w:szCs w:val="18"/>
    </w:rPr>
  </w:style>
  <w:style w:type="character" w:customStyle="1" w:styleId="Char0">
    <w:name w:val="尾注文本 Char"/>
    <w:basedOn w:val="a0"/>
    <w:link w:val="a4"/>
    <w:uiPriority w:val="99"/>
    <w:semiHidden/>
    <w:qFormat/>
    <w:rsid w:val="00AD4EB0"/>
  </w:style>
  <w:style w:type="character" w:customStyle="1" w:styleId="4Char">
    <w:name w:val="标题 4 Char"/>
    <w:basedOn w:val="a0"/>
    <w:link w:val="4"/>
    <w:uiPriority w:val="9"/>
    <w:qFormat/>
    <w:rsid w:val="00AD4EB0"/>
    <w:rPr>
      <w:rFonts w:asciiTheme="majorHAnsi" w:eastAsiaTheme="majorEastAsia" w:hAnsiTheme="majorHAnsi" w:cstheme="majorBidi"/>
      <w:b/>
      <w:bCs/>
      <w:sz w:val="28"/>
      <w:szCs w:val="28"/>
    </w:rPr>
  </w:style>
  <w:style w:type="character" w:customStyle="1" w:styleId="Char4">
    <w:name w:val="标题 Char"/>
    <w:basedOn w:val="a0"/>
    <w:link w:val="a9"/>
    <w:uiPriority w:val="10"/>
    <w:qFormat/>
    <w:rsid w:val="00AD4EB0"/>
    <w:rPr>
      <w:rFonts w:ascii="Cambria" w:eastAsia="楷体" w:hAnsi="Cambria" w:cs="Times New Roman"/>
      <w:b/>
      <w:sz w:val="36"/>
      <w:szCs w:val="20"/>
    </w:rPr>
  </w:style>
  <w:style w:type="character" w:customStyle="1" w:styleId="Char5">
    <w:name w:val="批注主题 Char"/>
    <w:basedOn w:val="Char"/>
    <w:link w:val="aa"/>
    <w:uiPriority w:val="99"/>
    <w:semiHidden/>
    <w:qFormat/>
    <w:rsid w:val="00AD4EB0"/>
    <w:rPr>
      <w:b/>
      <w:bCs/>
    </w:rPr>
  </w:style>
  <w:style w:type="paragraph" w:customStyle="1" w:styleId="11">
    <w:name w:val="修订1"/>
    <w:hidden/>
    <w:uiPriority w:val="99"/>
    <w:semiHidden/>
    <w:qFormat/>
    <w:rsid w:val="00AD4EB0"/>
    <w:rPr>
      <w:kern w:val="2"/>
      <w:sz w:val="21"/>
      <w:szCs w:val="22"/>
    </w:rPr>
  </w:style>
  <w:style w:type="paragraph" w:styleId="af">
    <w:name w:val="List Paragraph"/>
    <w:basedOn w:val="a"/>
    <w:uiPriority w:val="34"/>
    <w:qFormat/>
    <w:rsid w:val="00AD4EB0"/>
    <w:pPr>
      <w:ind w:firstLineChars="200" w:firstLine="420"/>
    </w:pPr>
  </w:style>
  <w:style w:type="paragraph" w:customStyle="1" w:styleId="TableParagraph">
    <w:name w:val="Table Paragraph"/>
    <w:basedOn w:val="a"/>
    <w:uiPriority w:val="1"/>
    <w:qFormat/>
    <w:rsid w:val="00AD4EB0"/>
    <w:pPr>
      <w:spacing w:before="22"/>
      <w:ind w:left="107"/>
    </w:pPr>
  </w:style>
  <w:style w:type="table" w:customStyle="1" w:styleId="TableNormal">
    <w:name w:val="Table Normal"/>
    <w:uiPriority w:val="2"/>
    <w:semiHidden/>
    <w:unhideWhenUsed/>
    <w:qFormat/>
    <w:rsid w:val="00AD4EB0"/>
    <w:pPr>
      <w:widowControl w:val="0"/>
      <w:autoSpaceDE w:val="0"/>
      <w:autoSpaceDN w:val="0"/>
    </w:pPr>
    <w:rPr>
      <w:sz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4</DocSecurity>
  <Lines>13</Lines>
  <Paragraphs>3</Paragraphs>
  <ScaleCrop>false</ScaleCrop>
  <Company>PAIG</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jianzhang;chdang</dc:creator>
  <cp:lastModifiedBy>ZHONGM</cp:lastModifiedBy>
  <cp:revision>2</cp:revision>
  <cp:lastPrinted>2021-07-12T01:08:00Z</cp:lastPrinted>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y fmtid="{D5CDD505-2E9C-101B-9397-08002B2CF9AE}" pid="3" name="KSOProductBuildVer">
    <vt:lpwstr>2052-12.8.2.21555</vt:lpwstr>
  </property>
  <property fmtid="{D5CDD505-2E9C-101B-9397-08002B2CF9AE}" pid="4" name="ICV">
    <vt:lpwstr>35BAE0D332D5497EA14BBD82F9D62EE9_13</vt:lpwstr>
  </property>
</Properties>
</file>