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6EDB" w:rsidRDefault="00C143E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E76EDB" w:rsidRDefault="00C143EC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关于华安恒生科技交易型开放式指数证券投资基金（QDII）暂停申购、赎回的公告</w:t>
      </w:r>
    </w:p>
    <w:p w:rsidR="00E76EDB" w:rsidRDefault="00C143EC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公告送出日期：2025年12月19日</w:t>
      </w:r>
    </w:p>
    <w:p w:rsidR="00E76EDB" w:rsidRDefault="00C143EC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472"/>
        <w:gridCol w:w="2863"/>
        <w:gridCol w:w="4726"/>
      </w:tblGrid>
      <w:tr w:rsidR="00E76EDB">
        <w:trPr>
          <w:divId w:val="500317703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华安恒生科技交易型开放式指数证券投资基金（QDII）</w:t>
            </w:r>
          </w:p>
        </w:tc>
      </w:tr>
      <w:tr w:rsidR="00E76EDB">
        <w:trPr>
          <w:divId w:val="500317703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华安恒生科技ETF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E76EDB">
        <w:trPr>
          <w:divId w:val="500317703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513580</w:t>
            </w:r>
          </w:p>
        </w:tc>
      </w:tr>
      <w:tr w:rsidR="00E76EDB">
        <w:trPr>
          <w:divId w:val="500317703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E76EDB">
        <w:trPr>
          <w:divId w:val="500317703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根据《华安恒生科技交易型开放式指数证券投资基金（QDII）基金合同》和《华安恒生科技交易型开放式指数证券投资基金（QDII）招募说明书》的有关规定</w:t>
            </w:r>
          </w:p>
        </w:tc>
      </w:tr>
      <w:tr w:rsidR="00E76EDB">
        <w:trPr>
          <w:divId w:val="500317703"/>
          <w:trHeight w:val="5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E76EDB">
        <w:trPr>
          <w:divId w:val="500317703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76EDB" w:rsidRDefault="00E76ED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E76EDB">
        <w:trPr>
          <w:divId w:val="500317703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76EDB" w:rsidRDefault="00E76ED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暂停申购、赎回的原因说明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EDB" w:rsidRDefault="00C143EC">
            <w:r>
              <w:rPr>
                <w:rFonts w:asciiTheme="minorEastAsia" w:eastAsiaTheme="minorEastAsia" w:hAnsiTheme="minorEastAsia" w:hint="eastAsia"/>
              </w:rPr>
              <w:t>鉴于2025年12月25日、12月26日为香港公众节假日（圣诞节），本基金投资所处的主要市场休市，2025年12月27日、12月28</w:t>
            </w:r>
            <w:r w:rsidR="008C056E">
              <w:rPr>
                <w:rFonts w:asciiTheme="minorEastAsia" w:eastAsiaTheme="minorEastAsia" w:hAnsiTheme="minorEastAsia" w:hint="eastAsia"/>
              </w:rPr>
              <w:t>日为周末休市。</w:t>
            </w:r>
          </w:p>
        </w:tc>
      </w:tr>
    </w:tbl>
    <w:p w:rsidR="00E76EDB" w:rsidRDefault="00C143EC">
      <w:pPr>
        <w:pStyle w:val="XBRLTitle1"/>
        <w:spacing w:before="156" w:line="360" w:lineRule="auto"/>
        <w:jc w:val="left"/>
        <w:divId w:val="953485704"/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E76EDB" w:rsidRDefault="00C143EC">
      <w:pPr>
        <w:spacing w:line="360" w:lineRule="auto"/>
        <w:ind w:firstLineChars="200" w:firstLine="420"/>
        <w:jc w:val="left"/>
        <w:divId w:val="953485704"/>
      </w:pPr>
      <w:bookmarkStart w:id="23" w:name="_GoBack"/>
      <w:bookmarkEnd w:id="23"/>
      <w:r>
        <w:rPr>
          <w:rFonts w:hint="eastAsia"/>
          <w:szCs w:val="21"/>
        </w:rPr>
        <w:t>1）本基金自2025年12月29日起恢复日常申购、赎回业务，届时不再另行公告。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E76EDB" w:rsidRDefault="00C143EC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76EDB" w:rsidRDefault="00C143EC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76EDB" w:rsidRDefault="00C143EC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E76EDB" w:rsidRDefault="00C143EC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2025年12月19日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E76EDB" w:rsidSect="002412A6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DB" w:rsidRDefault="00C143E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E76EDB" w:rsidRDefault="00C143E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DB" w:rsidRDefault="00C143EC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2412A6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2412A6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DB" w:rsidRDefault="00E76EDB">
    <w:pPr>
      <w:pStyle w:val="aa"/>
    </w:pPr>
  </w:p>
  <w:p w:rsidR="00E76EDB" w:rsidRDefault="00C143EC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2412A6">
      <w:rPr>
        <w:rFonts w:hint="eastAsia"/>
        <w:sz w:val="18"/>
        <w:szCs w:val="18"/>
      </w:rPr>
      <w:fldChar w:fldCharType="separate"/>
    </w:r>
    <w:r w:rsidR="00F64F25">
      <w:rPr>
        <w:noProof/>
        <w:sz w:val="18"/>
        <w:szCs w:val="18"/>
      </w:rPr>
      <w:t>1</w:t>
    </w:r>
    <w:r w:rsidR="002412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2412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2412A6">
      <w:rPr>
        <w:rFonts w:hint="eastAsia"/>
        <w:sz w:val="18"/>
        <w:szCs w:val="18"/>
      </w:rPr>
      <w:fldChar w:fldCharType="separate"/>
    </w:r>
    <w:r w:rsidR="00F64F25">
      <w:rPr>
        <w:noProof/>
        <w:sz w:val="18"/>
        <w:szCs w:val="18"/>
      </w:rPr>
      <w:t>1</w:t>
    </w:r>
    <w:r w:rsidR="002412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E76EDB" w:rsidRDefault="00E76ED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DB" w:rsidRDefault="00C143E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E76EDB" w:rsidRDefault="00C143E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3EC"/>
    <w:rsid w:val="002412A6"/>
    <w:rsid w:val="00815938"/>
    <w:rsid w:val="008C056E"/>
    <w:rsid w:val="00C143EC"/>
    <w:rsid w:val="00E76EDB"/>
    <w:rsid w:val="00F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A6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2412A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2412A6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2412A6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2412A6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2412A6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2412A6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2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12A6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2412A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2412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2412A6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2412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2412A6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2412A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2412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2412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2412A6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2412A6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2412A6"/>
  </w:style>
  <w:style w:type="paragraph" w:styleId="a6">
    <w:name w:val="footnote text"/>
    <w:basedOn w:val="a"/>
    <w:link w:val="Char1"/>
    <w:rsid w:val="002412A6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2412A6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241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2412A6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241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2412A6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2412A6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2412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2412A6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2412A6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2412A6"/>
    <w:rPr>
      <w:sz w:val="32"/>
      <w:lang/>
    </w:rPr>
  </w:style>
  <w:style w:type="character" w:customStyle="1" w:styleId="af1">
    <w:name w:val="日期 字符"/>
    <w:basedOn w:val="a0"/>
    <w:locked/>
    <w:rsid w:val="002412A6"/>
    <w:rPr>
      <w:kern w:val="2"/>
      <w:sz w:val="21"/>
    </w:rPr>
  </w:style>
  <w:style w:type="paragraph" w:styleId="af2">
    <w:name w:val="Document Map"/>
    <w:basedOn w:val="a"/>
    <w:link w:val="Char14"/>
    <w:rsid w:val="002412A6"/>
    <w:pPr>
      <w:shd w:val="clear" w:color="auto" w:fill="000080"/>
    </w:pPr>
  </w:style>
  <w:style w:type="character" w:customStyle="1" w:styleId="af3">
    <w:name w:val="文档结构图 字符"/>
    <w:basedOn w:val="a0"/>
    <w:locked/>
    <w:rsid w:val="002412A6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2412A6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2412A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2412A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2412A6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2412A6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2412A6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2412A6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2412A6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2412A6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2412A6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2412A6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2412A6"/>
  </w:style>
  <w:style w:type="paragraph" w:customStyle="1" w:styleId="CharCharCharCharCharChar1CharCharChar">
    <w:name w:val="Char Char Char Char Char Char1 Char Char Char"/>
    <w:basedOn w:val="a"/>
    <w:rsid w:val="002412A6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2412A6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2412A6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2412A6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2412A6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2412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2412A6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2412A6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2412A6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2412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2412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2412A6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2412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2412A6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2412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2412A6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2412A6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2412A6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2412A6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2412A6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2412A6"/>
    <w:rPr>
      <w:kern w:val="2"/>
      <w:sz w:val="21"/>
    </w:rPr>
  </w:style>
  <w:style w:type="character" w:customStyle="1" w:styleId="Char8">
    <w:name w:val="文档结构图 Char"/>
    <w:basedOn w:val="a0"/>
    <w:locked/>
    <w:rsid w:val="002412A6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2412A6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2412A6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2412A6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2412A6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2412A6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2412A6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2412A6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2412A6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2412A6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2412A6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2412A6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2412A6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2412A6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2412A6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2412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2412A6"/>
    <w:rPr>
      <w:kern w:val="2"/>
      <w:sz w:val="18"/>
      <w:szCs w:val="18"/>
    </w:rPr>
  </w:style>
  <w:style w:type="table" w:styleId="af8">
    <w:name w:val="Table Grid"/>
    <w:basedOn w:val="a1"/>
    <w:uiPriority w:val="59"/>
    <w:rsid w:val="002412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2412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2412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BD60-2935-46A1-8EA4-A7173AA2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4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