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02D" w:rsidRDefault="0020678F">
      <w:pPr>
        <w:widowControl/>
        <w:jc w:val="center"/>
        <w:rPr>
          <w:rFonts w:eastAsia="宋体"/>
          <w:b/>
          <w:color w:val="000000" w:themeColor="text1"/>
          <w:kern w:val="0"/>
          <w:sz w:val="30"/>
          <w:szCs w:val="30"/>
        </w:rPr>
      </w:pPr>
      <w:r>
        <w:rPr>
          <w:rFonts w:eastAsia="宋体"/>
          <w:b/>
          <w:color w:val="000000" w:themeColor="text1"/>
          <w:kern w:val="0"/>
          <w:sz w:val="30"/>
          <w:szCs w:val="30"/>
        </w:rPr>
        <w:t>海富通中国海外精选混合型证券投资基金节假日暂停申购、赎回、定期定额投资业务公告</w:t>
      </w:r>
    </w:p>
    <w:p w:rsidR="00DA002D" w:rsidRDefault="0020678F">
      <w:pPr>
        <w:tabs>
          <w:tab w:val="left" w:pos="426"/>
        </w:tabs>
        <w:spacing w:before="29" w:line="288" w:lineRule="auto"/>
        <w:jc w:val="center"/>
        <w:rPr>
          <w:rFonts w:eastAsia="宋体"/>
          <w:color w:val="000000" w:themeColor="text1"/>
          <w:kern w:val="0"/>
          <w:sz w:val="24"/>
          <w:szCs w:val="24"/>
        </w:rPr>
      </w:pPr>
      <w:r>
        <w:rPr>
          <w:rFonts w:eastAsia="宋体"/>
          <w:color w:val="000000" w:themeColor="text1"/>
          <w:sz w:val="24"/>
          <w:szCs w:val="24"/>
        </w:rPr>
        <w:t>公告送出日期：</w:t>
      </w:r>
      <w:r>
        <w:rPr>
          <w:rFonts w:eastAsia="宋体"/>
          <w:bCs/>
          <w:color w:val="000000" w:themeColor="text1"/>
          <w:sz w:val="24"/>
          <w:szCs w:val="24"/>
        </w:rPr>
        <w:t>202</w:t>
      </w:r>
      <w:r>
        <w:rPr>
          <w:rFonts w:eastAsia="宋体" w:hint="eastAsia"/>
          <w:bCs/>
          <w:color w:val="000000" w:themeColor="text1"/>
          <w:sz w:val="24"/>
          <w:szCs w:val="24"/>
        </w:rPr>
        <w:t>5</w:t>
      </w:r>
      <w:r>
        <w:rPr>
          <w:rFonts w:eastAsia="宋体"/>
          <w:bCs/>
          <w:color w:val="000000" w:themeColor="text1"/>
          <w:sz w:val="24"/>
          <w:szCs w:val="24"/>
        </w:rPr>
        <w:t>年</w:t>
      </w:r>
      <w:r>
        <w:rPr>
          <w:rFonts w:eastAsia="宋体" w:hint="eastAsia"/>
          <w:bCs/>
          <w:color w:val="000000" w:themeColor="text1"/>
          <w:sz w:val="24"/>
          <w:szCs w:val="24"/>
        </w:rPr>
        <w:t>12</w:t>
      </w:r>
      <w:r>
        <w:rPr>
          <w:rFonts w:eastAsia="宋体"/>
          <w:bCs/>
          <w:color w:val="000000" w:themeColor="text1"/>
          <w:sz w:val="24"/>
          <w:szCs w:val="24"/>
        </w:rPr>
        <w:t>月</w:t>
      </w:r>
      <w:r>
        <w:rPr>
          <w:rFonts w:eastAsia="宋体" w:hint="eastAsia"/>
          <w:bCs/>
          <w:color w:val="000000" w:themeColor="text1"/>
          <w:sz w:val="24"/>
          <w:szCs w:val="24"/>
        </w:rPr>
        <w:t>19</w:t>
      </w:r>
      <w:r>
        <w:rPr>
          <w:rFonts w:eastAsia="宋体"/>
          <w:bCs/>
          <w:color w:val="000000" w:themeColor="text1"/>
          <w:sz w:val="24"/>
          <w:szCs w:val="24"/>
        </w:rPr>
        <w:t>日</w:t>
      </w:r>
    </w:p>
    <w:p w:rsidR="00DA002D" w:rsidRDefault="00DA002D">
      <w:pPr>
        <w:spacing w:line="560" w:lineRule="exact"/>
        <w:jc w:val="center"/>
        <w:rPr>
          <w:rFonts w:eastAsia="宋体"/>
          <w:color w:val="000000" w:themeColor="text1"/>
          <w:sz w:val="24"/>
          <w:szCs w:val="24"/>
        </w:rPr>
      </w:pPr>
    </w:p>
    <w:p w:rsidR="00DA002D" w:rsidRDefault="0020678F">
      <w:pPr>
        <w:pStyle w:val="2"/>
        <w:spacing w:line="560" w:lineRule="exact"/>
        <w:rPr>
          <w:rFonts w:ascii="Times New Roman" w:eastAsia="宋体" w:hAnsi="Times New Roman"/>
          <w:bCs w:val="0"/>
          <w:color w:val="000000" w:themeColor="text1"/>
          <w:sz w:val="24"/>
          <w:szCs w:val="24"/>
        </w:rPr>
      </w:pPr>
      <w:bookmarkStart w:id="0" w:name="_Toc275961405"/>
      <w:r>
        <w:rPr>
          <w:rFonts w:ascii="Times New Roman" w:eastAsia="宋体" w:hAnsi="Times New Roman"/>
          <w:bCs w:val="0"/>
          <w:color w:val="000000" w:themeColor="text1"/>
          <w:sz w:val="24"/>
          <w:szCs w:val="24"/>
        </w:rPr>
        <w:t xml:space="preserve">1 </w:t>
      </w:r>
      <w:r>
        <w:rPr>
          <w:rFonts w:ascii="Times New Roman" w:eastAsia="宋体" w:hAnsi="Times New Roman"/>
          <w:bCs w:val="0"/>
          <w:color w:val="000000" w:themeColor="text1"/>
          <w:sz w:val="24"/>
          <w:szCs w:val="24"/>
        </w:rPr>
        <w:t>公告基本信息</w:t>
      </w:r>
      <w:bookmarkEnd w:id="0"/>
    </w:p>
    <w:tbl>
      <w:tblPr>
        <w:tblW w:w="9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53"/>
        <w:gridCol w:w="2894"/>
        <w:gridCol w:w="3792"/>
      </w:tblGrid>
      <w:tr w:rsidR="00DA002D">
        <w:trPr>
          <w:jc w:val="center"/>
        </w:trPr>
        <w:tc>
          <w:tcPr>
            <w:tcW w:w="3053" w:type="dxa"/>
          </w:tcPr>
          <w:p w:rsidR="00DA002D" w:rsidRDefault="0020678F">
            <w:pPr>
              <w:spacing w:line="560" w:lineRule="exact"/>
              <w:rPr>
                <w:rFonts w:eastAsia="宋体"/>
                <w:color w:val="000000" w:themeColor="text1"/>
                <w:sz w:val="24"/>
                <w:szCs w:val="24"/>
                <w:highlight w:val="cyan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基金名称</w:t>
            </w:r>
          </w:p>
        </w:tc>
        <w:tc>
          <w:tcPr>
            <w:tcW w:w="6686" w:type="dxa"/>
            <w:gridSpan w:val="2"/>
            <w:vAlign w:val="center"/>
          </w:tcPr>
          <w:p w:rsidR="00DA002D" w:rsidRDefault="0020678F">
            <w:pPr>
              <w:spacing w:line="560" w:lineRule="exact"/>
              <w:rPr>
                <w:rFonts w:eastAsia="宋体"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海富通中国海外精选混合型证券投资基金</w:t>
            </w:r>
          </w:p>
        </w:tc>
      </w:tr>
      <w:tr w:rsidR="00DA002D">
        <w:trPr>
          <w:jc w:val="center"/>
        </w:trPr>
        <w:tc>
          <w:tcPr>
            <w:tcW w:w="3053" w:type="dxa"/>
          </w:tcPr>
          <w:p w:rsidR="00DA002D" w:rsidRDefault="0020678F">
            <w:pPr>
              <w:spacing w:line="560" w:lineRule="exact"/>
              <w:rPr>
                <w:rFonts w:eastAsia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基金简称</w:t>
            </w:r>
          </w:p>
        </w:tc>
        <w:tc>
          <w:tcPr>
            <w:tcW w:w="6686" w:type="dxa"/>
            <w:gridSpan w:val="2"/>
            <w:vAlign w:val="center"/>
          </w:tcPr>
          <w:p w:rsidR="00DA002D" w:rsidRDefault="0020678F">
            <w:pPr>
              <w:spacing w:line="560" w:lineRule="exact"/>
              <w:rPr>
                <w:rFonts w:eastAsia="宋体"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海富通中国海外混合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(QDII)</w:t>
            </w:r>
          </w:p>
        </w:tc>
      </w:tr>
      <w:tr w:rsidR="00DA002D">
        <w:trPr>
          <w:jc w:val="center"/>
        </w:trPr>
        <w:tc>
          <w:tcPr>
            <w:tcW w:w="3053" w:type="dxa"/>
          </w:tcPr>
          <w:p w:rsidR="00DA002D" w:rsidRDefault="0020678F">
            <w:pPr>
              <w:spacing w:line="560" w:lineRule="exact"/>
              <w:rPr>
                <w:rFonts w:eastAsia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基金主代码</w:t>
            </w:r>
          </w:p>
        </w:tc>
        <w:tc>
          <w:tcPr>
            <w:tcW w:w="6686" w:type="dxa"/>
            <w:gridSpan w:val="2"/>
            <w:vAlign w:val="center"/>
          </w:tcPr>
          <w:p w:rsidR="00DA002D" w:rsidRDefault="0020678F">
            <w:pPr>
              <w:spacing w:line="560" w:lineRule="exact"/>
              <w:rPr>
                <w:rFonts w:eastAsia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519601</w:t>
            </w:r>
          </w:p>
        </w:tc>
      </w:tr>
      <w:tr w:rsidR="00DA002D">
        <w:trPr>
          <w:jc w:val="center"/>
        </w:trPr>
        <w:tc>
          <w:tcPr>
            <w:tcW w:w="3053" w:type="dxa"/>
          </w:tcPr>
          <w:p w:rsidR="00DA002D" w:rsidRDefault="0020678F">
            <w:pPr>
              <w:spacing w:line="560" w:lineRule="exact"/>
              <w:rPr>
                <w:rFonts w:eastAsia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基金管理人名称</w:t>
            </w:r>
          </w:p>
        </w:tc>
        <w:tc>
          <w:tcPr>
            <w:tcW w:w="6686" w:type="dxa"/>
            <w:gridSpan w:val="2"/>
            <w:vAlign w:val="center"/>
          </w:tcPr>
          <w:p w:rsidR="00DA002D" w:rsidRDefault="0020678F">
            <w:pPr>
              <w:rPr>
                <w:rFonts w:eastAsia="宋体"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海富通基金管理有限公司</w:t>
            </w:r>
          </w:p>
        </w:tc>
      </w:tr>
      <w:tr w:rsidR="00DA002D">
        <w:trPr>
          <w:jc w:val="center"/>
        </w:trPr>
        <w:tc>
          <w:tcPr>
            <w:tcW w:w="3053" w:type="dxa"/>
          </w:tcPr>
          <w:p w:rsidR="00DA002D" w:rsidRDefault="0020678F">
            <w:pPr>
              <w:spacing w:line="560" w:lineRule="exact"/>
              <w:rPr>
                <w:rFonts w:eastAsia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公告依据</w:t>
            </w:r>
          </w:p>
        </w:tc>
        <w:tc>
          <w:tcPr>
            <w:tcW w:w="6686" w:type="dxa"/>
            <w:gridSpan w:val="2"/>
            <w:vAlign w:val="center"/>
          </w:tcPr>
          <w:p w:rsidR="00DA002D" w:rsidRDefault="0020678F">
            <w:pPr>
              <w:rPr>
                <w:rFonts w:eastAsia="宋体"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《海富通中国海外精选混合型证券投资基金基金合同》、《海富通中国海外精选混合型证券投资基金招募说明书》</w:t>
            </w:r>
          </w:p>
        </w:tc>
      </w:tr>
      <w:tr w:rsidR="00DA002D">
        <w:trPr>
          <w:jc w:val="center"/>
        </w:trPr>
        <w:tc>
          <w:tcPr>
            <w:tcW w:w="3053" w:type="dxa"/>
            <w:vMerge w:val="restart"/>
            <w:vAlign w:val="center"/>
          </w:tcPr>
          <w:p w:rsidR="00DA002D" w:rsidRDefault="0020678F">
            <w:pPr>
              <w:spacing w:line="560" w:lineRule="exact"/>
              <w:rPr>
                <w:rFonts w:eastAsia="宋体"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暂停相关业务的起始日及原因说明</w:t>
            </w:r>
          </w:p>
        </w:tc>
        <w:tc>
          <w:tcPr>
            <w:tcW w:w="2894" w:type="dxa"/>
          </w:tcPr>
          <w:p w:rsidR="00DA002D" w:rsidRDefault="0020678F">
            <w:pPr>
              <w:spacing w:line="560" w:lineRule="exact"/>
              <w:rPr>
                <w:rFonts w:eastAsia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暂停申购起始日</w:t>
            </w:r>
          </w:p>
        </w:tc>
        <w:tc>
          <w:tcPr>
            <w:tcW w:w="3792" w:type="dxa"/>
            <w:vAlign w:val="center"/>
          </w:tcPr>
          <w:p w:rsidR="00DA002D" w:rsidRDefault="0020678F">
            <w:pPr>
              <w:rPr>
                <w:rFonts w:eastAsia="宋体"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202</w:t>
            </w: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年</w:t>
            </w: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>12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月</w:t>
            </w: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>24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DA002D">
        <w:trPr>
          <w:jc w:val="center"/>
        </w:trPr>
        <w:tc>
          <w:tcPr>
            <w:tcW w:w="3053" w:type="dxa"/>
            <w:vMerge/>
          </w:tcPr>
          <w:p w:rsidR="00DA002D" w:rsidRDefault="00DA002D">
            <w:pPr>
              <w:rPr>
                <w:rFonts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894" w:type="dxa"/>
          </w:tcPr>
          <w:p w:rsidR="00DA002D" w:rsidRDefault="0020678F">
            <w:pPr>
              <w:spacing w:line="560" w:lineRule="exact"/>
              <w:rPr>
                <w:rFonts w:eastAsia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暂停赎回起始日</w:t>
            </w:r>
          </w:p>
        </w:tc>
        <w:tc>
          <w:tcPr>
            <w:tcW w:w="3792" w:type="dxa"/>
            <w:vAlign w:val="center"/>
          </w:tcPr>
          <w:p w:rsidR="00DA002D" w:rsidRDefault="0020678F">
            <w:pPr>
              <w:spacing w:line="560" w:lineRule="exact"/>
              <w:rPr>
                <w:rFonts w:eastAsia="宋体"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202</w:t>
            </w: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年</w:t>
            </w: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>12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月</w:t>
            </w: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>24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DA002D">
        <w:trPr>
          <w:jc w:val="center"/>
        </w:trPr>
        <w:tc>
          <w:tcPr>
            <w:tcW w:w="3053" w:type="dxa"/>
            <w:vMerge/>
          </w:tcPr>
          <w:p w:rsidR="00DA002D" w:rsidRDefault="00DA002D">
            <w:pPr>
              <w:rPr>
                <w:rFonts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894" w:type="dxa"/>
          </w:tcPr>
          <w:p w:rsidR="00DA002D" w:rsidRDefault="0020678F">
            <w:pPr>
              <w:spacing w:line="560" w:lineRule="exact"/>
              <w:rPr>
                <w:rFonts w:eastAsia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暂停定期定额投资起始日</w:t>
            </w:r>
          </w:p>
        </w:tc>
        <w:tc>
          <w:tcPr>
            <w:tcW w:w="3792" w:type="dxa"/>
            <w:vAlign w:val="center"/>
          </w:tcPr>
          <w:p w:rsidR="00DA002D" w:rsidRDefault="0020678F">
            <w:pPr>
              <w:spacing w:line="560" w:lineRule="exact"/>
              <w:rPr>
                <w:rFonts w:eastAsia="宋体"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202</w:t>
            </w: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年</w:t>
            </w: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>12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月</w:t>
            </w: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>24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DA002D">
        <w:trPr>
          <w:jc w:val="center"/>
        </w:trPr>
        <w:tc>
          <w:tcPr>
            <w:tcW w:w="3053" w:type="dxa"/>
            <w:vMerge/>
          </w:tcPr>
          <w:p w:rsidR="00DA002D" w:rsidRDefault="00DA002D">
            <w:pPr>
              <w:rPr>
                <w:rFonts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894" w:type="dxa"/>
          </w:tcPr>
          <w:p w:rsidR="00DA002D" w:rsidRDefault="0020678F">
            <w:pPr>
              <w:spacing w:line="560" w:lineRule="exact"/>
              <w:rPr>
                <w:rFonts w:eastAsia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暂停申购、赎回、定期定额投资的原因说明</w:t>
            </w:r>
          </w:p>
        </w:tc>
        <w:tc>
          <w:tcPr>
            <w:tcW w:w="3792" w:type="dxa"/>
          </w:tcPr>
          <w:p w:rsidR="00DA002D" w:rsidRDefault="00FF4561">
            <w:pPr>
              <w:spacing w:line="560" w:lineRule="exact"/>
              <w:rPr>
                <w:rFonts w:eastAsia="宋体"/>
                <w:color w:val="000000" w:themeColor="text1"/>
                <w:sz w:val="24"/>
                <w:szCs w:val="24"/>
              </w:rPr>
            </w:pPr>
            <w:r w:rsidRPr="00FF4561">
              <w:rPr>
                <w:rFonts w:eastAsia="宋体" w:hint="eastAsia"/>
                <w:color w:val="000000" w:themeColor="text1"/>
                <w:sz w:val="24"/>
                <w:szCs w:val="24"/>
              </w:rPr>
              <w:t>根据中国香港证券市场节假日休市安排，保护现有基金份额持有人的利益，保障基金平稳运作。</w:t>
            </w:r>
          </w:p>
        </w:tc>
      </w:tr>
    </w:tbl>
    <w:p w:rsidR="00DA002D" w:rsidRDefault="0020678F">
      <w:pPr>
        <w:spacing w:line="560" w:lineRule="exact"/>
        <w:rPr>
          <w:rFonts w:eastAsia="宋体"/>
          <w:color w:val="000000" w:themeColor="text1"/>
          <w:sz w:val="24"/>
          <w:szCs w:val="24"/>
        </w:rPr>
      </w:pPr>
      <w:r>
        <w:rPr>
          <w:rFonts w:eastAsia="宋体"/>
          <w:color w:val="000000" w:themeColor="text1"/>
          <w:sz w:val="24"/>
          <w:szCs w:val="24"/>
        </w:rPr>
        <w:t>注：本公司决定于</w:t>
      </w:r>
      <w:r>
        <w:rPr>
          <w:rFonts w:eastAsia="宋体"/>
          <w:color w:val="000000" w:themeColor="text1"/>
          <w:sz w:val="24"/>
          <w:szCs w:val="24"/>
        </w:rPr>
        <w:t>202</w:t>
      </w:r>
      <w:r>
        <w:rPr>
          <w:rFonts w:eastAsia="宋体" w:hint="eastAsia"/>
          <w:color w:val="000000" w:themeColor="text1"/>
          <w:sz w:val="24"/>
          <w:szCs w:val="24"/>
        </w:rPr>
        <w:t>5</w:t>
      </w:r>
      <w:r>
        <w:rPr>
          <w:rFonts w:eastAsia="宋体"/>
          <w:color w:val="000000" w:themeColor="text1"/>
          <w:sz w:val="24"/>
          <w:szCs w:val="24"/>
        </w:rPr>
        <w:t>年</w:t>
      </w:r>
      <w:r>
        <w:rPr>
          <w:rFonts w:eastAsia="宋体"/>
          <w:color w:val="000000" w:themeColor="text1"/>
          <w:sz w:val="24"/>
          <w:szCs w:val="24"/>
        </w:rPr>
        <w:t>12</w:t>
      </w:r>
      <w:r>
        <w:rPr>
          <w:rFonts w:eastAsia="宋体"/>
          <w:color w:val="000000" w:themeColor="text1"/>
          <w:sz w:val="24"/>
          <w:szCs w:val="24"/>
        </w:rPr>
        <w:t>月</w:t>
      </w:r>
      <w:r>
        <w:rPr>
          <w:rFonts w:eastAsia="宋体"/>
          <w:color w:val="000000" w:themeColor="text1"/>
          <w:sz w:val="24"/>
          <w:szCs w:val="24"/>
        </w:rPr>
        <w:t>24</w:t>
      </w:r>
      <w:r>
        <w:rPr>
          <w:rFonts w:eastAsia="宋体"/>
          <w:color w:val="000000" w:themeColor="text1"/>
          <w:sz w:val="24"/>
          <w:szCs w:val="24"/>
        </w:rPr>
        <w:t>日（星期</w:t>
      </w:r>
      <w:r>
        <w:rPr>
          <w:rFonts w:eastAsia="宋体" w:hint="eastAsia"/>
          <w:color w:val="000000" w:themeColor="text1"/>
          <w:sz w:val="24"/>
          <w:szCs w:val="24"/>
        </w:rPr>
        <w:t>三</w:t>
      </w:r>
      <w:r>
        <w:rPr>
          <w:rFonts w:eastAsia="宋体"/>
          <w:color w:val="000000" w:themeColor="text1"/>
          <w:sz w:val="24"/>
          <w:szCs w:val="24"/>
        </w:rPr>
        <w:t>）</w:t>
      </w:r>
      <w:r>
        <w:rPr>
          <w:rFonts w:eastAsia="宋体"/>
          <w:color w:val="000000" w:themeColor="text1"/>
          <w:sz w:val="24"/>
          <w:szCs w:val="24"/>
        </w:rPr>
        <w:t>-12</w:t>
      </w:r>
      <w:r>
        <w:rPr>
          <w:rFonts w:eastAsia="宋体"/>
          <w:color w:val="000000" w:themeColor="text1"/>
          <w:sz w:val="24"/>
          <w:szCs w:val="24"/>
        </w:rPr>
        <w:t>月</w:t>
      </w:r>
      <w:r>
        <w:rPr>
          <w:rFonts w:eastAsia="宋体"/>
          <w:color w:val="000000" w:themeColor="text1"/>
          <w:sz w:val="24"/>
          <w:szCs w:val="24"/>
        </w:rPr>
        <w:t>26</w:t>
      </w:r>
      <w:r>
        <w:rPr>
          <w:rFonts w:eastAsia="宋体"/>
          <w:color w:val="000000" w:themeColor="text1"/>
          <w:sz w:val="24"/>
          <w:szCs w:val="24"/>
        </w:rPr>
        <w:t>日（星期</w:t>
      </w:r>
      <w:r>
        <w:rPr>
          <w:rFonts w:eastAsia="宋体" w:hint="eastAsia"/>
          <w:color w:val="000000" w:themeColor="text1"/>
          <w:sz w:val="24"/>
          <w:szCs w:val="24"/>
        </w:rPr>
        <w:t>五</w:t>
      </w:r>
      <w:r>
        <w:rPr>
          <w:rFonts w:eastAsia="宋体"/>
          <w:color w:val="000000" w:themeColor="text1"/>
          <w:sz w:val="24"/>
          <w:szCs w:val="24"/>
        </w:rPr>
        <w:t>）暂停海富通中国海外混合</w:t>
      </w:r>
      <w:r>
        <w:rPr>
          <w:rFonts w:eastAsia="宋体"/>
          <w:color w:val="000000" w:themeColor="text1"/>
          <w:sz w:val="24"/>
          <w:szCs w:val="24"/>
        </w:rPr>
        <w:t>(QDII)</w:t>
      </w:r>
      <w:r>
        <w:rPr>
          <w:rFonts w:eastAsia="宋体"/>
          <w:color w:val="000000" w:themeColor="text1"/>
          <w:sz w:val="24"/>
          <w:szCs w:val="24"/>
        </w:rPr>
        <w:t>基金的申购</w:t>
      </w:r>
      <w:r w:rsidR="001676B8">
        <w:rPr>
          <w:rFonts w:eastAsia="宋体" w:hint="eastAsia"/>
          <w:color w:val="000000" w:themeColor="text1"/>
          <w:sz w:val="24"/>
          <w:szCs w:val="24"/>
        </w:rPr>
        <w:t>（含定期定额申购）</w:t>
      </w:r>
      <w:r>
        <w:rPr>
          <w:rFonts w:eastAsia="宋体"/>
          <w:color w:val="000000" w:themeColor="text1"/>
          <w:sz w:val="24"/>
          <w:szCs w:val="24"/>
        </w:rPr>
        <w:t>与赎回</w:t>
      </w:r>
      <w:r w:rsidR="001676B8">
        <w:rPr>
          <w:rFonts w:eastAsia="宋体" w:hint="eastAsia"/>
          <w:color w:val="000000" w:themeColor="text1"/>
          <w:sz w:val="24"/>
          <w:szCs w:val="24"/>
        </w:rPr>
        <w:t>（含定期定额赎回）</w:t>
      </w:r>
      <w:r>
        <w:rPr>
          <w:rFonts w:eastAsia="宋体"/>
          <w:color w:val="000000" w:themeColor="text1"/>
          <w:sz w:val="24"/>
          <w:szCs w:val="24"/>
        </w:rPr>
        <w:t>业务。</w:t>
      </w:r>
    </w:p>
    <w:p w:rsidR="00DA002D" w:rsidRDefault="00DA002D">
      <w:pPr>
        <w:spacing w:line="360" w:lineRule="auto"/>
        <w:rPr>
          <w:rFonts w:eastAsia="宋体"/>
          <w:color w:val="000000" w:themeColor="text1"/>
          <w:sz w:val="24"/>
          <w:szCs w:val="24"/>
        </w:rPr>
      </w:pPr>
    </w:p>
    <w:p w:rsidR="00DA002D" w:rsidRDefault="0020678F">
      <w:pPr>
        <w:pStyle w:val="2"/>
        <w:spacing w:line="560" w:lineRule="exact"/>
        <w:rPr>
          <w:rFonts w:ascii="Times New Roman" w:eastAsia="宋体" w:hAnsi="Times New Roman"/>
          <w:bCs w:val="0"/>
          <w:color w:val="000000" w:themeColor="text1"/>
          <w:sz w:val="24"/>
          <w:szCs w:val="24"/>
        </w:rPr>
      </w:pPr>
      <w:bookmarkStart w:id="1" w:name="_Toc275961406"/>
      <w:r>
        <w:rPr>
          <w:rFonts w:ascii="Times New Roman" w:eastAsia="宋体" w:hAnsi="Times New Roman"/>
          <w:bCs w:val="0"/>
          <w:color w:val="000000" w:themeColor="text1"/>
          <w:sz w:val="24"/>
          <w:szCs w:val="24"/>
        </w:rPr>
        <w:t>2</w:t>
      </w:r>
      <w:r>
        <w:rPr>
          <w:rFonts w:ascii="Times New Roman" w:eastAsia="宋体" w:hAnsi="Times New Roman"/>
          <w:bCs w:val="0"/>
          <w:color w:val="000000" w:themeColor="text1"/>
          <w:sz w:val="24"/>
          <w:szCs w:val="24"/>
        </w:rPr>
        <w:t>其他需要提示的事项</w:t>
      </w:r>
      <w:bookmarkEnd w:id="1"/>
    </w:p>
    <w:p w:rsidR="00DA002D" w:rsidRDefault="0020678F">
      <w:pPr>
        <w:spacing w:line="360" w:lineRule="auto"/>
        <w:ind w:firstLineChars="200" w:firstLine="480"/>
        <w:rPr>
          <w:rFonts w:eastAsia="宋体"/>
          <w:color w:val="000000" w:themeColor="text1"/>
          <w:sz w:val="24"/>
          <w:szCs w:val="24"/>
        </w:rPr>
      </w:pPr>
      <w:r>
        <w:rPr>
          <w:rFonts w:eastAsia="宋体"/>
          <w:color w:val="000000" w:themeColor="text1"/>
          <w:sz w:val="24"/>
          <w:szCs w:val="24"/>
        </w:rPr>
        <w:t>1</w:t>
      </w:r>
      <w:r>
        <w:rPr>
          <w:rFonts w:eastAsia="宋体"/>
          <w:color w:val="000000" w:themeColor="text1"/>
          <w:sz w:val="24"/>
          <w:szCs w:val="24"/>
        </w:rPr>
        <w:t>）本公司将于</w:t>
      </w:r>
      <w:r>
        <w:rPr>
          <w:rFonts w:eastAsia="宋体"/>
          <w:color w:val="000000" w:themeColor="text1"/>
          <w:sz w:val="24"/>
          <w:szCs w:val="24"/>
        </w:rPr>
        <w:t>202</w:t>
      </w:r>
      <w:r>
        <w:rPr>
          <w:rFonts w:eastAsia="宋体" w:hint="eastAsia"/>
          <w:color w:val="000000" w:themeColor="text1"/>
          <w:sz w:val="24"/>
          <w:szCs w:val="24"/>
        </w:rPr>
        <w:t>5</w:t>
      </w:r>
      <w:r>
        <w:rPr>
          <w:rFonts w:eastAsia="宋体"/>
          <w:color w:val="000000" w:themeColor="text1"/>
          <w:sz w:val="24"/>
          <w:szCs w:val="24"/>
        </w:rPr>
        <w:t>年</w:t>
      </w:r>
      <w:r>
        <w:rPr>
          <w:rFonts w:eastAsia="宋体" w:hint="eastAsia"/>
          <w:color w:val="000000" w:themeColor="text1"/>
          <w:sz w:val="24"/>
          <w:szCs w:val="24"/>
        </w:rPr>
        <w:t>12</w:t>
      </w:r>
      <w:r>
        <w:rPr>
          <w:rFonts w:eastAsia="宋体"/>
          <w:color w:val="000000" w:themeColor="text1"/>
          <w:sz w:val="24"/>
          <w:szCs w:val="24"/>
        </w:rPr>
        <w:t>月</w:t>
      </w:r>
      <w:r>
        <w:rPr>
          <w:rFonts w:eastAsia="宋体" w:hint="eastAsia"/>
          <w:color w:val="000000" w:themeColor="text1"/>
          <w:sz w:val="24"/>
          <w:szCs w:val="24"/>
        </w:rPr>
        <w:t>29</w:t>
      </w:r>
      <w:r>
        <w:rPr>
          <w:rFonts w:eastAsia="宋体"/>
          <w:color w:val="000000" w:themeColor="text1"/>
          <w:sz w:val="24"/>
          <w:szCs w:val="24"/>
        </w:rPr>
        <w:t>日（星期</w:t>
      </w:r>
      <w:r>
        <w:rPr>
          <w:rFonts w:eastAsia="宋体" w:hint="eastAsia"/>
          <w:color w:val="000000" w:themeColor="text1"/>
          <w:sz w:val="24"/>
          <w:szCs w:val="24"/>
        </w:rPr>
        <w:t>一</w:t>
      </w:r>
      <w:r>
        <w:rPr>
          <w:rFonts w:eastAsia="宋体"/>
          <w:color w:val="000000" w:themeColor="text1"/>
          <w:sz w:val="24"/>
          <w:szCs w:val="24"/>
        </w:rPr>
        <w:t>）起恢复办理本基金的正常申购（含定期定额申购）和赎回（含定期定额赎回）业务，届时将不再另行公告。</w:t>
      </w:r>
    </w:p>
    <w:p w:rsidR="00DA002D" w:rsidRDefault="0020678F">
      <w:pPr>
        <w:spacing w:line="360" w:lineRule="auto"/>
        <w:ind w:firstLineChars="200" w:firstLine="480"/>
        <w:rPr>
          <w:rFonts w:eastAsia="宋体"/>
          <w:color w:val="000000" w:themeColor="text1"/>
          <w:sz w:val="24"/>
          <w:szCs w:val="24"/>
        </w:rPr>
      </w:pPr>
      <w:r>
        <w:rPr>
          <w:rFonts w:eastAsia="宋体"/>
          <w:color w:val="000000" w:themeColor="text1"/>
          <w:sz w:val="24"/>
          <w:szCs w:val="24"/>
        </w:rPr>
        <w:lastRenderedPageBreak/>
        <w:t>2</w:t>
      </w:r>
      <w:r>
        <w:rPr>
          <w:rFonts w:eastAsia="宋体"/>
          <w:color w:val="000000" w:themeColor="text1"/>
          <w:sz w:val="24"/>
          <w:szCs w:val="24"/>
        </w:rPr>
        <w:t>）如有疑问，请拨打本公司全国统一客户服务号码：</w:t>
      </w:r>
      <w:r>
        <w:rPr>
          <w:rFonts w:eastAsia="宋体"/>
          <w:color w:val="000000" w:themeColor="text1"/>
          <w:sz w:val="24"/>
          <w:szCs w:val="24"/>
        </w:rPr>
        <w:t>40088-40099</w:t>
      </w:r>
      <w:r>
        <w:rPr>
          <w:rFonts w:eastAsia="宋体"/>
          <w:color w:val="000000" w:themeColor="text1"/>
          <w:sz w:val="24"/>
          <w:szCs w:val="24"/>
        </w:rPr>
        <w:t>（免长途话费）或登陆本公司网站</w:t>
      </w:r>
      <w:r>
        <w:rPr>
          <w:rFonts w:eastAsia="宋体"/>
          <w:color w:val="000000" w:themeColor="text1"/>
          <w:sz w:val="24"/>
          <w:szCs w:val="24"/>
        </w:rPr>
        <w:t>www.hftfund.com</w:t>
      </w:r>
      <w:r>
        <w:rPr>
          <w:rFonts w:eastAsia="宋体"/>
          <w:color w:val="000000" w:themeColor="text1"/>
          <w:sz w:val="24"/>
          <w:szCs w:val="24"/>
        </w:rPr>
        <w:t>获取相关信息。</w:t>
      </w:r>
    </w:p>
    <w:p w:rsidR="00DA002D" w:rsidRDefault="00DA002D">
      <w:pPr>
        <w:spacing w:line="360" w:lineRule="auto"/>
        <w:ind w:firstLineChars="200" w:firstLine="480"/>
        <w:rPr>
          <w:rFonts w:eastAsia="宋体"/>
          <w:color w:val="000000" w:themeColor="text1"/>
          <w:sz w:val="24"/>
          <w:szCs w:val="24"/>
        </w:rPr>
      </w:pPr>
    </w:p>
    <w:p w:rsidR="00DA002D" w:rsidRDefault="0020678F">
      <w:pPr>
        <w:spacing w:line="360" w:lineRule="auto"/>
        <w:ind w:firstLineChars="200" w:firstLine="480"/>
        <w:rPr>
          <w:rFonts w:eastAsia="宋体"/>
          <w:color w:val="000000" w:themeColor="text1"/>
          <w:sz w:val="24"/>
          <w:szCs w:val="24"/>
        </w:rPr>
      </w:pPr>
      <w:r>
        <w:rPr>
          <w:rFonts w:eastAsia="宋体"/>
          <w:color w:val="000000" w:themeColor="text1"/>
          <w:sz w:val="24"/>
          <w:szCs w:val="24"/>
        </w:rPr>
        <w:t>特此公告。</w:t>
      </w:r>
    </w:p>
    <w:p w:rsidR="00DA002D" w:rsidRDefault="00DA002D">
      <w:pPr>
        <w:spacing w:line="360" w:lineRule="auto"/>
        <w:ind w:firstLineChars="200" w:firstLine="480"/>
        <w:rPr>
          <w:rFonts w:eastAsia="宋体"/>
          <w:color w:val="000000" w:themeColor="text1"/>
          <w:sz w:val="24"/>
          <w:szCs w:val="24"/>
        </w:rPr>
      </w:pPr>
    </w:p>
    <w:p w:rsidR="00DA002D" w:rsidRDefault="00DA002D">
      <w:pPr>
        <w:spacing w:line="360" w:lineRule="auto"/>
        <w:ind w:firstLineChars="200" w:firstLine="480"/>
        <w:rPr>
          <w:rFonts w:eastAsia="宋体"/>
          <w:color w:val="000000" w:themeColor="text1"/>
          <w:sz w:val="24"/>
          <w:szCs w:val="24"/>
        </w:rPr>
      </w:pPr>
    </w:p>
    <w:p w:rsidR="00DA002D" w:rsidRDefault="00DA002D">
      <w:pPr>
        <w:rPr>
          <w:rFonts w:eastAsia="宋体"/>
          <w:color w:val="000000" w:themeColor="text1"/>
          <w:sz w:val="24"/>
          <w:szCs w:val="24"/>
        </w:rPr>
      </w:pPr>
    </w:p>
    <w:p w:rsidR="00DA002D" w:rsidRDefault="00DA002D">
      <w:pPr>
        <w:rPr>
          <w:rFonts w:eastAsia="宋体"/>
          <w:color w:val="000000" w:themeColor="text1"/>
          <w:sz w:val="24"/>
          <w:szCs w:val="24"/>
        </w:rPr>
      </w:pPr>
    </w:p>
    <w:p w:rsidR="00DA002D" w:rsidRDefault="0020678F">
      <w:pPr>
        <w:tabs>
          <w:tab w:val="left" w:pos="426"/>
        </w:tabs>
        <w:spacing w:before="29" w:line="288" w:lineRule="auto"/>
        <w:ind w:firstLineChars="200" w:firstLine="480"/>
        <w:jc w:val="right"/>
        <w:rPr>
          <w:rFonts w:eastAsia="宋体"/>
          <w:color w:val="000000" w:themeColor="text1"/>
          <w:kern w:val="0"/>
          <w:sz w:val="24"/>
          <w:szCs w:val="24"/>
        </w:rPr>
      </w:pPr>
      <w:r>
        <w:rPr>
          <w:rFonts w:eastAsia="宋体"/>
          <w:color w:val="000000" w:themeColor="text1"/>
          <w:kern w:val="0"/>
          <w:sz w:val="24"/>
          <w:szCs w:val="24"/>
        </w:rPr>
        <w:t>海富通基金管理有限公司</w:t>
      </w:r>
    </w:p>
    <w:p w:rsidR="00DA002D" w:rsidRDefault="0020678F">
      <w:pPr>
        <w:tabs>
          <w:tab w:val="left" w:pos="426"/>
        </w:tabs>
        <w:spacing w:before="29" w:line="288" w:lineRule="auto"/>
        <w:ind w:firstLineChars="200" w:firstLine="480"/>
        <w:jc w:val="right"/>
        <w:rPr>
          <w:rFonts w:eastAsia="宋体"/>
          <w:color w:val="000000" w:themeColor="text1"/>
          <w:kern w:val="0"/>
          <w:sz w:val="24"/>
          <w:szCs w:val="24"/>
        </w:rPr>
      </w:pPr>
      <w:r>
        <w:rPr>
          <w:rFonts w:eastAsia="宋体"/>
          <w:bCs/>
          <w:color w:val="000000" w:themeColor="text1"/>
          <w:sz w:val="24"/>
          <w:szCs w:val="24"/>
        </w:rPr>
        <w:t>202</w:t>
      </w:r>
      <w:r>
        <w:rPr>
          <w:rFonts w:eastAsia="宋体" w:hint="eastAsia"/>
          <w:bCs/>
          <w:color w:val="000000" w:themeColor="text1"/>
          <w:sz w:val="24"/>
          <w:szCs w:val="24"/>
        </w:rPr>
        <w:t>5</w:t>
      </w:r>
      <w:r>
        <w:rPr>
          <w:rFonts w:eastAsia="宋体"/>
          <w:bCs/>
          <w:color w:val="000000" w:themeColor="text1"/>
          <w:sz w:val="24"/>
          <w:szCs w:val="24"/>
        </w:rPr>
        <w:t>年</w:t>
      </w:r>
      <w:r>
        <w:rPr>
          <w:rFonts w:eastAsia="宋体" w:hint="eastAsia"/>
          <w:bCs/>
          <w:color w:val="000000" w:themeColor="text1"/>
          <w:sz w:val="24"/>
          <w:szCs w:val="24"/>
        </w:rPr>
        <w:t>12</w:t>
      </w:r>
      <w:r>
        <w:rPr>
          <w:rFonts w:eastAsia="宋体"/>
          <w:bCs/>
          <w:color w:val="000000" w:themeColor="text1"/>
          <w:sz w:val="24"/>
          <w:szCs w:val="24"/>
        </w:rPr>
        <w:t>月</w:t>
      </w:r>
      <w:r>
        <w:rPr>
          <w:rFonts w:eastAsia="宋体" w:hint="eastAsia"/>
          <w:bCs/>
          <w:color w:val="000000" w:themeColor="text1"/>
          <w:sz w:val="24"/>
          <w:szCs w:val="24"/>
        </w:rPr>
        <w:t>19</w:t>
      </w:r>
      <w:r>
        <w:rPr>
          <w:rFonts w:eastAsia="宋体"/>
          <w:bCs/>
          <w:color w:val="000000" w:themeColor="text1"/>
          <w:sz w:val="24"/>
          <w:szCs w:val="24"/>
        </w:rPr>
        <w:t>日</w:t>
      </w:r>
    </w:p>
    <w:p w:rsidR="00DA002D" w:rsidRDefault="00DA002D">
      <w:pPr>
        <w:rPr>
          <w:rFonts w:eastAsia="宋体"/>
          <w:color w:val="000000" w:themeColor="text1"/>
          <w:sz w:val="24"/>
          <w:szCs w:val="24"/>
        </w:rPr>
      </w:pPr>
    </w:p>
    <w:sectPr w:rsidR="00DA002D" w:rsidSect="00F83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27FA"/>
    <w:rsid w:val="00006562"/>
    <w:rsid w:val="00031302"/>
    <w:rsid w:val="00037A56"/>
    <w:rsid w:val="00041353"/>
    <w:rsid w:val="00061E5D"/>
    <w:rsid w:val="00066FA7"/>
    <w:rsid w:val="0007355A"/>
    <w:rsid w:val="000923C5"/>
    <w:rsid w:val="000B3624"/>
    <w:rsid w:val="000C1836"/>
    <w:rsid w:val="000D17F9"/>
    <w:rsid w:val="000D472C"/>
    <w:rsid w:val="000E4CBF"/>
    <w:rsid w:val="000F55E1"/>
    <w:rsid w:val="000F73BB"/>
    <w:rsid w:val="00100D7C"/>
    <w:rsid w:val="0013025A"/>
    <w:rsid w:val="00147ABF"/>
    <w:rsid w:val="0015417F"/>
    <w:rsid w:val="00160B98"/>
    <w:rsid w:val="00160DAE"/>
    <w:rsid w:val="00166DBA"/>
    <w:rsid w:val="001676B8"/>
    <w:rsid w:val="00180DA3"/>
    <w:rsid w:val="001838F9"/>
    <w:rsid w:val="0019060D"/>
    <w:rsid w:val="00190EF3"/>
    <w:rsid w:val="00193912"/>
    <w:rsid w:val="001B4F9F"/>
    <w:rsid w:val="001B79DC"/>
    <w:rsid w:val="001C2053"/>
    <w:rsid w:val="001D3B58"/>
    <w:rsid w:val="001F7709"/>
    <w:rsid w:val="0020678F"/>
    <w:rsid w:val="00213AD0"/>
    <w:rsid w:val="002151B3"/>
    <w:rsid w:val="002157C5"/>
    <w:rsid w:val="002241A8"/>
    <w:rsid w:val="00227D17"/>
    <w:rsid w:val="00245724"/>
    <w:rsid w:val="002521D4"/>
    <w:rsid w:val="00285347"/>
    <w:rsid w:val="00291CAD"/>
    <w:rsid w:val="002935EF"/>
    <w:rsid w:val="00297148"/>
    <w:rsid w:val="002A6277"/>
    <w:rsid w:val="002B3273"/>
    <w:rsid w:val="002F7241"/>
    <w:rsid w:val="00327DA7"/>
    <w:rsid w:val="0033476C"/>
    <w:rsid w:val="00341947"/>
    <w:rsid w:val="00352F86"/>
    <w:rsid w:val="00361B50"/>
    <w:rsid w:val="00364600"/>
    <w:rsid w:val="0036784E"/>
    <w:rsid w:val="00374664"/>
    <w:rsid w:val="00375262"/>
    <w:rsid w:val="00383CF3"/>
    <w:rsid w:val="003B15BB"/>
    <w:rsid w:val="003B500A"/>
    <w:rsid w:val="003C0F8C"/>
    <w:rsid w:val="003D0DCF"/>
    <w:rsid w:val="003D3818"/>
    <w:rsid w:val="003D716F"/>
    <w:rsid w:val="003E2C47"/>
    <w:rsid w:val="00402B96"/>
    <w:rsid w:val="00456E66"/>
    <w:rsid w:val="00477B15"/>
    <w:rsid w:val="004966BA"/>
    <w:rsid w:val="004977D5"/>
    <w:rsid w:val="004B1D96"/>
    <w:rsid w:val="004D02AE"/>
    <w:rsid w:val="004D19D9"/>
    <w:rsid w:val="004D2CCE"/>
    <w:rsid w:val="004D6346"/>
    <w:rsid w:val="004F0521"/>
    <w:rsid w:val="004F51E8"/>
    <w:rsid w:val="00522E54"/>
    <w:rsid w:val="00531E5A"/>
    <w:rsid w:val="00536E8E"/>
    <w:rsid w:val="00542C0F"/>
    <w:rsid w:val="0055497B"/>
    <w:rsid w:val="00584831"/>
    <w:rsid w:val="0059628A"/>
    <w:rsid w:val="005A0539"/>
    <w:rsid w:val="005A4164"/>
    <w:rsid w:val="005C0E53"/>
    <w:rsid w:val="005C5D3F"/>
    <w:rsid w:val="005F2DBE"/>
    <w:rsid w:val="00603A93"/>
    <w:rsid w:val="00633C51"/>
    <w:rsid w:val="00646522"/>
    <w:rsid w:val="00646DBA"/>
    <w:rsid w:val="00663031"/>
    <w:rsid w:val="006A0A5E"/>
    <w:rsid w:val="006A4704"/>
    <w:rsid w:val="006B1FD3"/>
    <w:rsid w:val="006D74EF"/>
    <w:rsid w:val="0073228C"/>
    <w:rsid w:val="007412CB"/>
    <w:rsid w:val="00753E39"/>
    <w:rsid w:val="00762FED"/>
    <w:rsid w:val="00767778"/>
    <w:rsid w:val="00770DB7"/>
    <w:rsid w:val="00772F1F"/>
    <w:rsid w:val="00794279"/>
    <w:rsid w:val="007B0250"/>
    <w:rsid w:val="007B1D31"/>
    <w:rsid w:val="007D022C"/>
    <w:rsid w:val="007D1734"/>
    <w:rsid w:val="007F2403"/>
    <w:rsid w:val="007F5867"/>
    <w:rsid w:val="008071EE"/>
    <w:rsid w:val="0081693E"/>
    <w:rsid w:val="00835B6C"/>
    <w:rsid w:val="00836FBD"/>
    <w:rsid w:val="008472DB"/>
    <w:rsid w:val="00855414"/>
    <w:rsid w:val="00860470"/>
    <w:rsid w:val="008712F5"/>
    <w:rsid w:val="00873016"/>
    <w:rsid w:val="00884557"/>
    <w:rsid w:val="008A7834"/>
    <w:rsid w:val="008C1BAB"/>
    <w:rsid w:val="008C5B57"/>
    <w:rsid w:val="008D6773"/>
    <w:rsid w:val="009009F8"/>
    <w:rsid w:val="009168DB"/>
    <w:rsid w:val="00920023"/>
    <w:rsid w:val="00925E5D"/>
    <w:rsid w:val="009271E1"/>
    <w:rsid w:val="00954D9A"/>
    <w:rsid w:val="00956B0F"/>
    <w:rsid w:val="009864BB"/>
    <w:rsid w:val="00986C12"/>
    <w:rsid w:val="009A22CE"/>
    <w:rsid w:val="009A7160"/>
    <w:rsid w:val="009B3C99"/>
    <w:rsid w:val="009C5858"/>
    <w:rsid w:val="009C76F3"/>
    <w:rsid w:val="00A03DB8"/>
    <w:rsid w:val="00A2638C"/>
    <w:rsid w:val="00A26607"/>
    <w:rsid w:val="00A428CE"/>
    <w:rsid w:val="00A50978"/>
    <w:rsid w:val="00A5414E"/>
    <w:rsid w:val="00A54A55"/>
    <w:rsid w:val="00A91A91"/>
    <w:rsid w:val="00A94FAB"/>
    <w:rsid w:val="00AA22DC"/>
    <w:rsid w:val="00AA36B9"/>
    <w:rsid w:val="00AC0E51"/>
    <w:rsid w:val="00AC5B92"/>
    <w:rsid w:val="00AD7BDD"/>
    <w:rsid w:val="00AD7CFE"/>
    <w:rsid w:val="00AF024E"/>
    <w:rsid w:val="00B101F7"/>
    <w:rsid w:val="00B448F9"/>
    <w:rsid w:val="00B872E5"/>
    <w:rsid w:val="00B912A5"/>
    <w:rsid w:val="00B91C79"/>
    <w:rsid w:val="00B91EEC"/>
    <w:rsid w:val="00BA6492"/>
    <w:rsid w:val="00BB10D9"/>
    <w:rsid w:val="00BC6F77"/>
    <w:rsid w:val="00BD545A"/>
    <w:rsid w:val="00BD601B"/>
    <w:rsid w:val="00BE4C8E"/>
    <w:rsid w:val="00BF75D8"/>
    <w:rsid w:val="00C035F9"/>
    <w:rsid w:val="00C17BB4"/>
    <w:rsid w:val="00C44021"/>
    <w:rsid w:val="00C70EDA"/>
    <w:rsid w:val="00C74C63"/>
    <w:rsid w:val="00CB0B52"/>
    <w:rsid w:val="00CD4708"/>
    <w:rsid w:val="00CD59DA"/>
    <w:rsid w:val="00CD74DC"/>
    <w:rsid w:val="00D04E6B"/>
    <w:rsid w:val="00D114B7"/>
    <w:rsid w:val="00D1480F"/>
    <w:rsid w:val="00D327FA"/>
    <w:rsid w:val="00D417C2"/>
    <w:rsid w:val="00D770FC"/>
    <w:rsid w:val="00D8274A"/>
    <w:rsid w:val="00D82FAF"/>
    <w:rsid w:val="00D9574F"/>
    <w:rsid w:val="00D95A18"/>
    <w:rsid w:val="00DA002D"/>
    <w:rsid w:val="00DB53F5"/>
    <w:rsid w:val="00DC700D"/>
    <w:rsid w:val="00DD14D4"/>
    <w:rsid w:val="00DD22A8"/>
    <w:rsid w:val="00DD3B13"/>
    <w:rsid w:val="00E714AE"/>
    <w:rsid w:val="00E830A4"/>
    <w:rsid w:val="00EA2B71"/>
    <w:rsid w:val="00EB12AF"/>
    <w:rsid w:val="00EB1E35"/>
    <w:rsid w:val="00EE1823"/>
    <w:rsid w:val="00EF6255"/>
    <w:rsid w:val="00EF794B"/>
    <w:rsid w:val="00F04F7B"/>
    <w:rsid w:val="00F15B17"/>
    <w:rsid w:val="00F27255"/>
    <w:rsid w:val="00F434FD"/>
    <w:rsid w:val="00F5050D"/>
    <w:rsid w:val="00F64447"/>
    <w:rsid w:val="00F771F7"/>
    <w:rsid w:val="00F80E51"/>
    <w:rsid w:val="00F8323A"/>
    <w:rsid w:val="00F8780A"/>
    <w:rsid w:val="00FA0DDE"/>
    <w:rsid w:val="00FB3CDF"/>
    <w:rsid w:val="00FB6486"/>
    <w:rsid w:val="00FD6EF4"/>
    <w:rsid w:val="00FF4561"/>
    <w:rsid w:val="52A60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/>
    <w:lsdException w:name="footer" w:semiHidden="0" w:qFormat="1"/>
    <w:lsdException w:name="caption" w:uiPriority="35" w:qFormat="1"/>
    <w:lsdException w:name="footnote reference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23A"/>
    <w:pPr>
      <w:widowControl w:val="0"/>
      <w:jc w:val="both"/>
    </w:pPr>
    <w:rPr>
      <w:rFonts w:ascii="Times New Roman" w:eastAsia="方正仿宋简体" w:hAnsi="Times New Roman" w:cs="Times New Roman"/>
      <w:kern w:val="2"/>
      <w:sz w:val="32"/>
    </w:rPr>
  </w:style>
  <w:style w:type="paragraph" w:styleId="1">
    <w:name w:val="heading 1"/>
    <w:basedOn w:val="a"/>
    <w:next w:val="a"/>
    <w:link w:val="1Char"/>
    <w:qFormat/>
    <w:rsid w:val="00F8323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F8323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832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832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83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link w:val="Char2"/>
    <w:rsid w:val="00F8323A"/>
    <w:pPr>
      <w:snapToGrid w:val="0"/>
      <w:jc w:val="left"/>
    </w:pPr>
    <w:rPr>
      <w:rFonts w:eastAsia="宋体"/>
      <w:sz w:val="18"/>
    </w:rPr>
  </w:style>
  <w:style w:type="character" w:styleId="a7">
    <w:name w:val="footnote reference"/>
    <w:basedOn w:val="a0"/>
    <w:rsid w:val="00F8323A"/>
    <w:rPr>
      <w:vertAlign w:val="superscript"/>
    </w:rPr>
  </w:style>
  <w:style w:type="character" w:customStyle="1" w:styleId="1Char">
    <w:name w:val="标题 1 Char"/>
    <w:basedOn w:val="a0"/>
    <w:link w:val="1"/>
    <w:qFormat/>
    <w:rsid w:val="00F8323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F8323A"/>
    <w:rPr>
      <w:rFonts w:ascii="Arial" w:eastAsia="黑体" w:hAnsi="Arial" w:cs="Times New Roman"/>
      <w:b/>
      <w:bCs/>
      <w:sz w:val="32"/>
      <w:szCs w:val="32"/>
    </w:rPr>
  </w:style>
  <w:style w:type="character" w:customStyle="1" w:styleId="Char2">
    <w:name w:val="脚注文本 Char"/>
    <w:basedOn w:val="a0"/>
    <w:link w:val="a6"/>
    <w:qFormat/>
    <w:rsid w:val="00F8323A"/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8323A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8323A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8323A"/>
    <w:rPr>
      <w:rFonts w:ascii="Times New Roman" w:eastAsia="方正仿宋简体" w:hAnsi="Times New Roman" w:cs="Times New Roman"/>
      <w:sz w:val="18"/>
      <w:szCs w:val="18"/>
    </w:rPr>
  </w:style>
  <w:style w:type="paragraph" w:customStyle="1" w:styleId="10">
    <w:name w:val="修订1"/>
    <w:hidden/>
    <w:uiPriority w:val="99"/>
    <w:semiHidden/>
    <w:rsid w:val="00F8323A"/>
    <w:rPr>
      <w:rFonts w:ascii="Times New Roman" w:eastAsia="方正仿宋简体" w:hAnsi="Times New Roman" w:cs="Times New Roman"/>
      <w:kern w:val="2"/>
      <w:sz w:val="32"/>
    </w:rPr>
  </w:style>
  <w:style w:type="paragraph" w:styleId="a8">
    <w:name w:val="Revision"/>
    <w:hidden/>
    <w:uiPriority w:val="99"/>
    <w:unhideWhenUsed/>
    <w:rsid w:val="001676B8"/>
    <w:rPr>
      <w:rFonts w:ascii="Times New Roman" w:eastAsia="方正仿宋简体" w:hAnsi="Times New Roman" w:cs="Times New Roman"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539</Characters>
  <Application>Microsoft Office Word</Application>
  <DocSecurity>4</DocSecurity>
  <Lines>4</Lines>
  <Paragraphs>1</Paragraphs>
  <ScaleCrop>false</ScaleCrop>
  <Company>微软中国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ZHONGM</cp:lastModifiedBy>
  <cp:revision>2</cp:revision>
  <dcterms:created xsi:type="dcterms:W3CDTF">2025-12-18T16:02:00Z</dcterms:created>
  <dcterms:modified xsi:type="dcterms:W3CDTF">2025-12-18T16:02:00Z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BB0D52C92BD44D7A8451F2964EF9511A</vt:lpwstr>
  </property>
</Properties>
</file>