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0410" w:rsidRDefault="006E0410" w:rsidP="00BA0DF6">
      <w:pPr>
        <w:pStyle w:val="XBRL2"/>
        <w:spacing w:before="156"/>
        <w:rPr>
          <w:lang w:eastAsia="zh-CN"/>
        </w:rPr>
      </w:pPr>
      <w:bookmarkStart w:id="0" w:name="_Toc348410291"/>
      <w:bookmarkEnd w:id="0"/>
      <w:r>
        <w:rPr>
          <w:lang w:eastAsia="zh-CN"/>
        </w:rPr>
        <w:t xml:space="preserve">　</w:t>
      </w:r>
      <w:r>
        <w:rPr>
          <w:lang w:eastAsia="zh-CN"/>
        </w:rPr>
        <w:t xml:space="preserve"> </w:t>
      </w:r>
    </w:p>
    <w:p w:rsidR="006E0410" w:rsidRDefault="006E0410">
      <w:pPr>
        <w:jc w:val="center"/>
      </w:pPr>
      <w:r>
        <w:rPr>
          <w:rFonts w:cs="Times New Roman" w:hint="eastAsia"/>
          <w:b/>
          <w:color w:val="000000"/>
          <w:sz w:val="48"/>
          <w:szCs w:val="48"/>
        </w:rPr>
        <w:t>太平丰润一年定期开放债券型发起式证券投资基金开放日常申购、赎回、转换等业务公告</w:t>
      </w:r>
    </w:p>
    <w:p w:rsidR="006E0410" w:rsidRDefault="006E0410">
      <w:pPr>
        <w:spacing w:line="360" w:lineRule="auto"/>
        <w:jc w:val="center"/>
        <w:divId w:val="515927004"/>
        <w:rPr>
          <w:rFonts w:hint="eastAsia"/>
          <w:sz w:val="24"/>
          <w:szCs w:val="30"/>
        </w:rPr>
      </w:pPr>
      <w:r>
        <w:rPr>
          <w:rFonts w:hint="eastAsia"/>
          <w:sz w:val="24"/>
          <w:szCs w:val="30"/>
        </w:rPr>
        <w:t xml:space="preserve">　 </w:t>
      </w:r>
    </w:p>
    <w:p w:rsidR="006E0410" w:rsidRDefault="006E0410">
      <w:pPr>
        <w:spacing w:line="360" w:lineRule="auto"/>
        <w:jc w:val="center"/>
        <w:divId w:val="515927004"/>
        <w:rPr>
          <w:rFonts w:hint="eastAsia"/>
          <w:sz w:val="24"/>
          <w:szCs w:val="30"/>
        </w:rPr>
      </w:pPr>
      <w:r>
        <w:rPr>
          <w:rFonts w:hint="eastAsia"/>
          <w:sz w:val="24"/>
          <w:szCs w:val="30"/>
        </w:rPr>
        <w:t xml:space="preserve">　 </w:t>
      </w:r>
    </w:p>
    <w:p w:rsidR="006E0410" w:rsidRDefault="006E0410">
      <w:pPr>
        <w:spacing w:line="360" w:lineRule="auto"/>
        <w:jc w:val="center"/>
        <w:divId w:val="515927004"/>
        <w:rPr>
          <w:rFonts w:hint="eastAsia"/>
          <w:sz w:val="24"/>
          <w:szCs w:val="30"/>
        </w:rPr>
      </w:pPr>
      <w:r>
        <w:rPr>
          <w:rFonts w:hint="eastAsia"/>
          <w:sz w:val="24"/>
          <w:szCs w:val="30"/>
        </w:rPr>
        <w:t xml:space="preserve">　 </w:t>
      </w:r>
    </w:p>
    <w:p w:rsidR="006E0410" w:rsidRDefault="006E0410">
      <w:pPr>
        <w:spacing w:line="360" w:lineRule="auto"/>
        <w:jc w:val="center"/>
        <w:divId w:val="515927004"/>
        <w:rPr>
          <w:rFonts w:hint="eastAsia"/>
          <w:sz w:val="24"/>
          <w:szCs w:val="30"/>
        </w:rPr>
      </w:pPr>
      <w:r>
        <w:rPr>
          <w:rFonts w:hint="eastAsia"/>
          <w:sz w:val="24"/>
          <w:szCs w:val="30"/>
        </w:rPr>
        <w:t xml:space="preserve">　 </w:t>
      </w:r>
    </w:p>
    <w:p w:rsidR="006E0410" w:rsidRDefault="006E0410">
      <w:pPr>
        <w:spacing w:line="360" w:lineRule="auto"/>
        <w:jc w:val="center"/>
        <w:divId w:val="515927004"/>
        <w:rPr>
          <w:rFonts w:hint="eastAsia"/>
          <w:sz w:val="24"/>
          <w:szCs w:val="30"/>
        </w:rPr>
      </w:pPr>
      <w:r>
        <w:rPr>
          <w:rFonts w:hint="eastAsia"/>
          <w:sz w:val="24"/>
          <w:szCs w:val="30"/>
        </w:rPr>
        <w:t xml:space="preserve">　 </w:t>
      </w:r>
    </w:p>
    <w:p w:rsidR="006E0410" w:rsidRDefault="006E0410">
      <w:pPr>
        <w:spacing w:line="360" w:lineRule="auto"/>
        <w:jc w:val="center"/>
        <w:divId w:val="515927004"/>
        <w:rPr>
          <w:rFonts w:hint="eastAsia"/>
          <w:sz w:val="24"/>
          <w:szCs w:val="30"/>
        </w:rPr>
      </w:pPr>
      <w:r>
        <w:rPr>
          <w:rFonts w:hint="eastAsia"/>
          <w:sz w:val="24"/>
          <w:szCs w:val="30"/>
        </w:rPr>
        <w:t xml:space="preserve">　 </w:t>
      </w:r>
    </w:p>
    <w:p w:rsidR="006E0410" w:rsidRDefault="006E0410">
      <w:pPr>
        <w:spacing w:line="360" w:lineRule="auto"/>
        <w:jc w:val="center"/>
        <w:divId w:val="515927004"/>
        <w:rPr>
          <w:rFonts w:hint="eastAsia"/>
          <w:sz w:val="24"/>
          <w:szCs w:val="30"/>
        </w:rPr>
      </w:pPr>
      <w:r>
        <w:rPr>
          <w:rFonts w:hint="eastAsia"/>
          <w:sz w:val="24"/>
          <w:szCs w:val="30"/>
        </w:rPr>
        <w:t xml:space="preserve">　 </w:t>
      </w:r>
    </w:p>
    <w:p w:rsidR="006E0410" w:rsidRDefault="006E0410">
      <w:pPr>
        <w:spacing w:line="360" w:lineRule="auto"/>
        <w:jc w:val="center"/>
        <w:divId w:val="515927004"/>
        <w:rPr>
          <w:rFonts w:hint="eastAsia"/>
          <w:sz w:val="24"/>
          <w:szCs w:val="30"/>
        </w:rPr>
      </w:pPr>
      <w:r>
        <w:rPr>
          <w:rFonts w:hint="eastAsia"/>
          <w:sz w:val="24"/>
          <w:szCs w:val="30"/>
        </w:rPr>
        <w:t xml:space="preserve">　 </w:t>
      </w:r>
    </w:p>
    <w:p w:rsidR="006E0410" w:rsidRDefault="006E0410">
      <w:pPr>
        <w:spacing w:line="360" w:lineRule="auto"/>
        <w:jc w:val="center"/>
        <w:divId w:val="515927004"/>
        <w:rPr>
          <w:rFonts w:hint="eastAsia"/>
          <w:sz w:val="24"/>
          <w:szCs w:val="30"/>
        </w:rPr>
      </w:pPr>
      <w:r>
        <w:rPr>
          <w:rFonts w:hint="eastAsia"/>
          <w:sz w:val="24"/>
          <w:szCs w:val="30"/>
        </w:rPr>
        <w:t xml:space="preserve">　 </w:t>
      </w:r>
    </w:p>
    <w:p w:rsidR="006E0410" w:rsidRDefault="006E0410">
      <w:pPr>
        <w:spacing w:line="360" w:lineRule="auto"/>
        <w:jc w:val="center"/>
        <w:divId w:val="515927004"/>
        <w:rPr>
          <w:rFonts w:hint="eastAsia"/>
          <w:sz w:val="24"/>
          <w:szCs w:val="30"/>
        </w:rPr>
      </w:pPr>
      <w:r>
        <w:rPr>
          <w:rFonts w:hint="eastAsia"/>
          <w:sz w:val="24"/>
          <w:szCs w:val="30"/>
        </w:rPr>
        <w:t xml:space="preserve">　 </w:t>
      </w:r>
    </w:p>
    <w:p w:rsidR="006E0410" w:rsidRDefault="006E0410">
      <w:pPr>
        <w:spacing w:line="360" w:lineRule="auto"/>
        <w:jc w:val="center"/>
        <w:rPr>
          <w:rFonts w:hint="eastAsia"/>
        </w:rPr>
      </w:pPr>
      <w:r>
        <w:rPr>
          <w:rFonts w:hint="eastAsia"/>
          <w:b/>
          <w:bCs/>
          <w:sz w:val="24"/>
          <w:szCs w:val="30"/>
        </w:rPr>
        <w:t>公告送出日期：2025年12月19日</w:t>
      </w:r>
    </w:p>
    <w:p w:rsidR="006E0410" w:rsidRDefault="006E0410" w:rsidP="00BA0DF6">
      <w:pPr>
        <w:pStyle w:val="XBRLTitle1"/>
        <w:spacing w:before="156" w:line="360" w:lineRule="auto"/>
        <w:rPr>
          <w:rFonts w:hint="eastAsia"/>
        </w:rPr>
      </w:pPr>
      <w:r>
        <w:rPr>
          <w:rFonts w:hint="eastAsia"/>
          <w:color w:val="404040"/>
          <w:kern w:val="0"/>
        </w:rPr>
        <w:br w:type="page"/>
      </w:r>
      <w:bookmarkStart w:id="1" w:name="_Toc3475851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34841028"/>
      <w:bookmarkStart w:id="11" w:name="m101"/>
      <w:bookmarkStart w:id="12" w:name="m01_01"/>
      <w:bookmarkStart w:id="13" w:name="_Toc194311890"/>
      <w:r>
        <w:rPr>
          <w:rFonts w:hAnsi="宋体" w:hint="eastAsia"/>
        </w:rPr>
        <w:lastRenderedPageBreak/>
        <w:t>公告基本信息</w:t>
      </w:r>
      <w:bookmarkEnd w:id="1"/>
      <w:bookmarkEnd w:id="2"/>
      <w:bookmarkEnd w:id="3"/>
      <w:bookmarkEnd w:id="4"/>
      <w:bookmarkEnd w:id="5"/>
      <w:bookmarkEnd w:id="6"/>
      <w:bookmarkEnd w:id="7"/>
      <w:bookmarkEnd w:id="8"/>
      <w:bookmarkEnd w:id="9"/>
      <w:bookmarkEnd w:id="10"/>
      <w:r>
        <w:rPr>
          <w:rFonts w:hAnsi="宋体" w:hint="eastAsia"/>
          <w:szCs w:val="4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3"/>
        <w:gridCol w:w="5178"/>
      </w:tblGrid>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基金名称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太平丰润一年定期开放债券型发起式证券投资基金</w:t>
            </w:r>
          </w:p>
        </w:tc>
      </w:tr>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基金简称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太平丰润一年定开债券发起式</w:t>
            </w:r>
          </w:p>
        </w:tc>
      </w:tr>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基金主代码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014056</w:t>
            </w:r>
          </w:p>
        </w:tc>
      </w:tr>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基金运作方式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契约型定期开放式</w:t>
            </w:r>
          </w:p>
        </w:tc>
      </w:tr>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基金合同生效日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2021年11月18日</w:t>
            </w:r>
          </w:p>
        </w:tc>
      </w:tr>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基金管理人名称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太平基金管理有限公司</w:t>
            </w:r>
          </w:p>
        </w:tc>
      </w:tr>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基金托管人名称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中国光大银行股份有限公司</w:t>
            </w:r>
          </w:p>
        </w:tc>
      </w:tr>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基金注册登记机构名称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太平基金管理有限公司</w:t>
            </w:r>
          </w:p>
        </w:tc>
      </w:tr>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公告依据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中华人民共和国证券投资基金法》、《公开募集证券投资基金运作管理办法》、《公开募集证券投资基金信息披露管理办法》（以下简称《信息披露办法》）等相关法律法规以及《太平丰润一年定期开放债券型发起式证券投资基金基金合同》（以下简称“基金合同”）、《太平丰润一年定期开放债券型发起式证券投资基金招募说明书》（以下简称“招募说明书”）的有关规定及相关公告等</w:t>
            </w:r>
          </w:p>
        </w:tc>
      </w:tr>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申购起始日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2025年12月22日</w:t>
            </w:r>
          </w:p>
        </w:tc>
      </w:tr>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赎回起始日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2025年12月22日</w:t>
            </w:r>
          </w:p>
        </w:tc>
      </w:tr>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转换转入起始日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2025年12月22日</w:t>
            </w:r>
          </w:p>
        </w:tc>
      </w:tr>
      <w:tr w:rsidR="006E0410" w:rsidRPr="00BA0DF6" w:rsidTr="00BA0DF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 xml:space="preserve">转换转出起始日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410" w:rsidRDefault="006E0410">
            <w:r w:rsidRPr="00BA0DF6">
              <w:rPr>
                <w:rFonts w:hint="eastAsia"/>
              </w:rPr>
              <w:t>2025年12月22日</w:t>
            </w:r>
          </w:p>
        </w:tc>
      </w:tr>
    </w:tbl>
    <w:p w:rsidR="006E0410" w:rsidRDefault="006E0410" w:rsidP="00BA0DF6">
      <w:pPr>
        <w:pStyle w:val="XBRLTitle1"/>
        <w:spacing w:before="156" w:line="360" w:lineRule="auto"/>
        <w:divId w:val="2124886563"/>
        <w:rPr>
          <w:rFonts w:hint="eastAsia"/>
        </w:rPr>
      </w:pPr>
      <w:bookmarkStart w:id="14" w:name="_Toc34758520"/>
      <w:bookmarkStart w:id="15" w:name="_Toc34841029"/>
      <w:bookmarkStart w:id="16" w:name="_Toc513295893"/>
      <w:bookmarkStart w:id="17" w:name="_Toc513295847"/>
      <w:bookmarkStart w:id="18" w:name="_Toc490050001"/>
      <w:bookmarkStart w:id="19" w:name="_Toc438646452"/>
      <w:bookmarkStart w:id="20" w:name="_Toc481075047"/>
      <w:bookmarkStart w:id="21" w:name="_Toc512519481"/>
      <w:bookmarkStart w:id="22" w:name="_Toc17897937"/>
      <w:bookmarkStart w:id="23" w:name="_Toc17898179"/>
      <w:r>
        <w:rPr>
          <w:rFonts w:hAnsi="宋体" w:hint="eastAsia"/>
        </w:rPr>
        <w:t>日常申购、赎回(转换、定期定额投资)业务的办理时间</w:t>
      </w:r>
      <w:bookmarkEnd w:id="14"/>
      <w:bookmarkEnd w:id="15"/>
      <w:r>
        <w:rPr>
          <w:rFonts w:hAnsi="宋体" w:hint="eastAsia"/>
        </w:rPr>
        <w:t xml:space="preserve"> </w:t>
      </w:r>
    </w:p>
    <w:p w:rsidR="006E0410" w:rsidRDefault="006E0410">
      <w:pPr>
        <w:spacing w:line="360" w:lineRule="auto"/>
        <w:ind w:firstLineChars="200" w:firstLine="420"/>
        <w:divId w:val="2124886563"/>
        <w:rPr>
          <w:rFonts w:hint="eastAsia"/>
        </w:rPr>
      </w:pPr>
      <w:bookmarkStart w:id="24" w:name="m07_04_07_09"/>
      <w:bookmarkStart w:id="25" w:name="m07_04_07_09_tab"/>
      <w:bookmarkStart w:id="26" w:name="m201"/>
      <w:bookmarkStart w:id="27" w:name="m07_04_13_00"/>
      <w:bookmarkStart w:id="28" w:name="m201_01"/>
      <w:r>
        <w:rPr>
          <w:rFonts w:hint="eastAsia"/>
          <w:lang/>
        </w:rPr>
        <w:t>本基金开放期内，投资人在开放日办理基金份额的申购和赎回，具体办理时间为上海证券交易所、深圳证券交易所及相关金融期货交易所的正常交易日的交易时间（若本基金参与港股通交易且该工作日为非港股通交易日时，则基金管理人可根据实际情况决定本基金是否开放申购、赎回等业务），但基金管理人根据法律法规、中国证监会的要求或基金合同的规定公告暂停申购、赎回时除外。在封闭期内，本基金不办理申购与赎回等业务，也不上市交易。</w:t>
      </w:r>
      <w:r>
        <w:rPr>
          <w:rFonts w:hint="eastAsia"/>
          <w:lang/>
        </w:rPr>
        <w:br/>
        <w:t xml:space="preserve">　　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r>
        <w:rPr>
          <w:rFonts w:hint="eastAsia"/>
          <w:lang/>
        </w:rPr>
        <w:br/>
        <w:t xml:space="preserve">　　本基金首个封闭期为自基金合同生效日（含该日）起至基金合同生效日一年后的对应日（如该日为非工作日或无对应日期，则顺延至下一工作日）的前一日（含）之间的期间，之后的封闭期为每一个开放期结束之日的次日（含该日）起至该日一年后的对应日（如该日为非工作日或无对应日期，则顺延至下一工作日）的前一日（含该日）之间的期间。本基金在封闭期内不办理申购与赎回等业务，也不上市交易。</w:t>
      </w:r>
      <w:r>
        <w:rPr>
          <w:rFonts w:hint="eastAsia"/>
          <w:lang/>
        </w:rPr>
        <w:br/>
        <w:t xml:space="preserve">　　除基金合同另有约定外，本基金自封闭期结束之日的下一个工作日（含该日）起进入开放期，</w:t>
      </w:r>
      <w:r>
        <w:rPr>
          <w:rFonts w:hint="eastAsia"/>
          <w:lang/>
        </w:rPr>
        <w:lastRenderedPageBreak/>
        <w:t>期间开放办理申购、赎回等业务。开放期不少于1个工作日并且最长不超过20个工作日，具体期间由基金管理人在封闭期结束前公告说明。开放期内，本基金采取开放运作模式，投资人可办理基金份额申购、赎回或其他业务。开放期未赎回的份额将自动转入下一个封闭期。</w:t>
      </w:r>
      <w:r>
        <w:rPr>
          <w:rFonts w:hint="eastAsia"/>
          <w:lang/>
        </w:rPr>
        <w:br/>
        <w:t xml:space="preserve">　　如封闭期结束之后的第一个工作日因不可抗力或其他情形致使基金无法按时开放申购与赎回业务的，开放期自不可抗力或其他情形的影响因素消除之日起的下一个工作日开始。如在开放期内发生不可抗力或其他情形致使基金无法按时开放或需依据《基金合同》暂停申购与赎回业务的，基金管理人有权合理调整申购或赎回业务的办理期间并予以公告，在不可抗力或其他情形影响因素消除之日的下一个工作日起，继续计算该开放期时间。</w:t>
      </w:r>
      <w:r>
        <w:rPr>
          <w:rFonts w:hint="eastAsia"/>
          <w:lang/>
        </w:rPr>
        <w:br/>
        <w:t xml:space="preserve">　　本基金本次办理申购、赎回、转换业务的开放期为2025年12月22日起（含）至2026年1月20日（含）期间的工作日。自2026年1月21日起本基金将进入下一封闭期并暂停申购、赎回及转换等业务。</w:t>
      </w:r>
    </w:p>
    <w:p w:rsidR="006E0410" w:rsidRDefault="006E0410" w:rsidP="00BA0DF6">
      <w:pPr>
        <w:pStyle w:val="XBRLTitle1"/>
        <w:spacing w:before="156" w:line="360" w:lineRule="auto"/>
        <w:divId w:val="368798820"/>
        <w:rPr>
          <w:rFonts w:hint="eastAsia"/>
        </w:rPr>
      </w:pPr>
      <w:bookmarkStart w:id="29" w:name="_Toc34758521"/>
      <w:bookmarkStart w:id="30" w:name="_Toc34841030"/>
      <w:bookmarkStart w:id="31" w:name="_Toc513295894"/>
      <w:bookmarkStart w:id="32" w:name="_Toc513295848"/>
      <w:bookmarkStart w:id="33" w:name="_Toc490050003"/>
      <w:bookmarkStart w:id="34" w:name="_Toc438646455"/>
      <w:bookmarkStart w:id="35" w:name="_Toc481075049"/>
      <w:bookmarkStart w:id="36" w:name="_Toc512519482"/>
      <w:bookmarkStart w:id="37" w:name="_Toc17897938"/>
      <w:bookmarkStart w:id="38" w:name="_Toc17898180"/>
      <w:bookmarkStart w:id="39" w:name="m401"/>
      <w:bookmarkStart w:id="40" w:name="m401_tab"/>
      <w:r>
        <w:rPr>
          <w:rFonts w:hAnsi="宋体" w:hint="eastAsia"/>
        </w:rPr>
        <w:t>日常申购业务</w:t>
      </w:r>
      <w:bookmarkEnd w:id="29"/>
      <w:bookmarkEnd w:id="30"/>
      <w:r>
        <w:rPr>
          <w:rFonts w:hAnsi="宋体" w:hint="eastAsia"/>
        </w:rPr>
        <w:t xml:space="preserve"> </w:t>
      </w:r>
    </w:p>
    <w:p w:rsidR="006E0410" w:rsidRDefault="006E0410" w:rsidP="00BA0DF6">
      <w:pPr>
        <w:pStyle w:val="XBRLTitle2"/>
        <w:spacing w:before="156" w:line="360" w:lineRule="auto"/>
        <w:divId w:val="1874418227"/>
        <w:rPr>
          <w:rFonts w:hint="eastAsia"/>
        </w:rPr>
      </w:pPr>
      <w:bookmarkStart w:id="41" w:name="_Toc34758522"/>
      <w:bookmarkStart w:id="42" w:name="_Toc513295895"/>
      <w:bookmarkStart w:id="43" w:name="_Toc513295849"/>
      <w:bookmarkStart w:id="44" w:name="_Toc490050004"/>
      <w:bookmarkStart w:id="45" w:name="_Toc438646456"/>
      <w:bookmarkStart w:id="46" w:name="_Toc481075050"/>
      <w:bookmarkStart w:id="47" w:name="_Toc512519483"/>
      <w:bookmarkStart w:id="48" w:name="_Toc17897939"/>
      <w:bookmarkStart w:id="49" w:name="_Toc17898181"/>
      <w:bookmarkStart w:id="50" w:name="_Toc34841031"/>
      <w:r>
        <w:rPr>
          <w:rFonts w:hAnsi="宋体" w:hint="eastAsia"/>
        </w:rPr>
        <w:t>申购金额限制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6E0410" w:rsidRDefault="006E0410">
      <w:pPr>
        <w:spacing w:line="360" w:lineRule="auto"/>
        <w:ind w:firstLineChars="200" w:firstLine="420"/>
        <w:divId w:val="1874418227"/>
        <w:rPr>
          <w:rFonts w:hint="eastAsia"/>
        </w:rPr>
      </w:pPr>
      <w:r>
        <w:rPr>
          <w:rFonts w:hint="eastAsia"/>
          <w:lang/>
        </w:rPr>
        <w:t>1、投资人通过本基金的直销机构单个基金账户首次申购本基金单笔最低金额为人民币1.00元（含申购费），追加申购的单笔最低金额为人民币1.00元（含申购费）；通过其他销售机构单个基金账户首次申购本基金单笔最低金额为人民币1.00元（含申购费），追加申购的单笔最低金额为人民币1.00元（含申购费），其他销售机构另有规定的，从其规定。</w:t>
      </w:r>
      <w:r>
        <w:rPr>
          <w:rFonts w:hint="eastAsia"/>
          <w:lang/>
        </w:rPr>
        <w:br/>
        <w:t xml:space="preserve">　　2、基金管理人可以规定单个投资人单日或单笔申购金额上限、累计持有的基金份额上限，具体规定请参见更新的招募说明书或相关公告。</w:t>
      </w:r>
      <w:r>
        <w:rPr>
          <w:rFonts w:hint="eastAsia"/>
          <w:lang/>
        </w:rPr>
        <w:br/>
        <w:t xml:space="preserve">　　3、基金管理人可以规定本基金的总规模上限、单日申购金额上限，具体规定请参见更新的招募说明书或相关公告。</w:t>
      </w:r>
      <w:r>
        <w:rPr>
          <w:rFonts w:hint="eastAsia"/>
          <w:lang/>
        </w:rPr>
        <w:br/>
        <w:t xml:space="preserve">　　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Pr>
          <w:rFonts w:hint="eastAsia"/>
          <w:lang/>
        </w:rPr>
        <w:br/>
        <w:t xml:space="preserve">　　5、基金管理人可在法律法规允许的情况下，调整上述规定申购金额的数量限制。基金管理人必须在调整实施前依照《信息披露办法》的有关规定在规定媒介上公告。</w:t>
      </w:r>
    </w:p>
    <w:p w:rsidR="006E0410" w:rsidRDefault="006E0410" w:rsidP="00BA0DF6">
      <w:pPr>
        <w:pStyle w:val="XBRLTitle2"/>
        <w:spacing w:before="156" w:line="360" w:lineRule="auto"/>
        <w:divId w:val="178203132"/>
        <w:rPr>
          <w:rFonts w:hint="eastAsia"/>
        </w:rPr>
      </w:pPr>
      <w:bookmarkStart w:id="51" w:name="_Toc513465658"/>
      <w:bookmarkStart w:id="52" w:name="_Toc512519484"/>
      <w:bookmarkStart w:id="53" w:name="_Toc481075051"/>
      <w:bookmarkStart w:id="54" w:name="_Toc438646457"/>
      <w:bookmarkStart w:id="55" w:name="_Toc490050005"/>
      <w:r>
        <w:rPr>
          <w:rFonts w:hAnsi="宋体" w:hint="eastAsia"/>
        </w:rPr>
        <w:t>申购费率</w:t>
      </w:r>
      <w:bookmarkEnd w:id="51"/>
      <w:r>
        <w:rPr>
          <w:rFonts w:hAnsi="宋体" w:hint="eastAsia"/>
        </w:rPr>
        <w:t xml:space="preserve"> </w:t>
      </w:r>
    </w:p>
    <w:p w:rsidR="006E0410" w:rsidRDefault="006E0410">
      <w:pPr>
        <w:spacing w:line="360" w:lineRule="auto"/>
        <w:ind w:firstLineChars="200" w:firstLine="420"/>
        <w:divId w:val="178203132"/>
        <w:rPr>
          <w:rFonts w:hint="eastAsia"/>
        </w:rPr>
      </w:pPr>
      <w:r>
        <w:rPr>
          <w:rFonts w:hint="eastAsia"/>
          <w:lang/>
        </w:rPr>
        <w:t>投资者可以多次申购本基金，申购费率按每笔申购申请单独计算。</w:t>
      </w:r>
      <w:r>
        <w:rPr>
          <w:rFonts w:hint="eastAsia"/>
          <w:lang/>
        </w:rPr>
        <w:br/>
        <w:t xml:space="preserve">　　本基金基金份额采用前端收费模式收取基金申购费用。投资者的申购费用如下：</w:t>
      </w:r>
      <w:r>
        <w:rPr>
          <w:rFonts w:hint="eastAsia"/>
          <w:lang/>
        </w:rPr>
        <w:br/>
        <w:t xml:space="preserve">　　申购金额（M，含申购费）　　申购费率</w:t>
      </w:r>
      <w:r>
        <w:rPr>
          <w:rFonts w:hint="eastAsia"/>
          <w:lang/>
        </w:rPr>
        <w:br/>
        <w:t xml:space="preserve">　　M＜100万　 0.50%</w:t>
      </w:r>
      <w:r>
        <w:rPr>
          <w:rFonts w:hint="eastAsia"/>
          <w:lang/>
        </w:rPr>
        <w:br/>
        <w:t xml:space="preserve">　　100万≤M＜300万　 0.30%</w:t>
      </w:r>
      <w:r>
        <w:rPr>
          <w:rFonts w:hint="eastAsia"/>
          <w:lang/>
        </w:rPr>
        <w:br/>
        <w:t xml:space="preserve">　　300万≤M＜500万　 0.10%</w:t>
      </w:r>
      <w:r>
        <w:rPr>
          <w:rFonts w:hint="eastAsia"/>
          <w:lang/>
        </w:rPr>
        <w:br/>
        <w:t xml:space="preserve">　　M≥500万　　按笔收取，每笔1000元</w:t>
      </w:r>
      <w:r>
        <w:rPr>
          <w:rFonts w:hint="eastAsia"/>
          <w:lang/>
        </w:rPr>
        <w:br/>
        <w:t xml:space="preserve">　　（注：M：申购金额；单位：元）</w:t>
      </w:r>
      <w:r>
        <w:rPr>
          <w:rFonts w:hint="eastAsia"/>
          <w:lang/>
        </w:rPr>
        <w:br/>
        <w:t xml:space="preserve">　　本基金的申购费用由投资人承担，主要用于本基金的市场推广、销售、登记等各项费用，不列入基金财产。</w:t>
      </w:r>
    </w:p>
    <w:p w:rsidR="006E0410" w:rsidRDefault="006E0410" w:rsidP="00BA0DF6">
      <w:pPr>
        <w:pStyle w:val="XBRLTitle2"/>
        <w:spacing w:before="156"/>
        <w:divId w:val="1214149737"/>
        <w:rPr>
          <w:rFonts w:hint="eastAsia"/>
        </w:rPr>
      </w:pPr>
      <w:bookmarkStart w:id="56" w:name="_Toc34758524"/>
      <w:bookmarkStart w:id="57" w:name="_Toc34841033"/>
      <w:bookmarkStart w:id="58" w:name="_Toc512519485"/>
      <w:bookmarkStart w:id="59" w:name="_Toc481075052"/>
      <w:bookmarkStart w:id="60" w:name="_Toc490050006"/>
      <w:bookmarkStart w:id="61" w:name="_Toc512519486"/>
      <w:bookmarkStart w:id="62" w:name="_Toc481075053"/>
      <w:bookmarkStart w:id="63" w:name="_Toc490050007"/>
      <w:bookmarkStart w:id="64" w:name="m03_03"/>
      <w:bookmarkStart w:id="65" w:name="_Toc454983260"/>
      <w:bookmarkStart w:id="66" w:name="_Toc452398732"/>
      <w:bookmarkStart w:id="67" w:name="_Toc453852604"/>
      <w:bookmarkStart w:id="68" w:name="_Toc485300223"/>
      <w:bookmarkStart w:id="69" w:name="_Toc244948694"/>
      <w:bookmarkStart w:id="70" w:name="_Toc245003735"/>
      <w:bookmarkStart w:id="71" w:name="_Toc247616208"/>
      <w:bookmarkStart w:id="72" w:name="_Toc433036679"/>
      <w:bookmarkStart w:id="73" w:name="_Toc506208214"/>
      <w:bookmarkStart w:id="74" w:name="_Toc497398101"/>
      <w:bookmarkStart w:id="75" w:name="_Toc17897941"/>
      <w:bookmarkStart w:id="76" w:name="_Toc17898185"/>
      <w:r>
        <w:rPr>
          <w:rFonts w:hint="eastAsia"/>
        </w:rPr>
        <w:t>其他与申购相关的事项</w:t>
      </w:r>
      <w:bookmarkEnd w:id="56"/>
      <w:bookmarkEnd w:id="57"/>
    </w:p>
    <w:p w:rsidR="006E0410" w:rsidRDefault="006E0410">
      <w:pPr>
        <w:spacing w:line="360" w:lineRule="auto"/>
        <w:ind w:firstLineChars="200" w:firstLine="420"/>
        <w:divId w:val="1214149737"/>
        <w:rPr>
          <w:rFonts w:hint="eastAsia"/>
        </w:rPr>
      </w:pPr>
      <w:r>
        <w:rPr>
          <w:rFonts w:hint="eastAsia"/>
          <w:lang/>
        </w:rPr>
        <w:t>1、基金管理人可以在基金合同约定的范围内调整费率或收费方式，并最迟应于新的费率或收费方式实施日前依照《信息披露办法》的有关规定在规定媒介上公告。</w:t>
      </w:r>
      <w:r>
        <w:rPr>
          <w:rFonts w:hint="eastAsia"/>
          <w:lang/>
        </w:rPr>
        <w:br/>
        <w:t xml:space="preserve">　　2、基金管理人可以在不违反法律法规规定及基金合同约定的情形下根据市场情况制定基金促销计划。针对基金投资者定期和不定期地开展基金促销活动。在基金促销活动期间，按相关监管部门要求履行必要手续后，基金管理人可以适当调低基金申购费率和基金赎回费率并进行公告。</w:t>
      </w:r>
      <w:r>
        <w:rPr>
          <w:rFonts w:hint="eastAsia"/>
          <w:lang/>
        </w:rPr>
        <w:br/>
        <w:t xml:space="preserve">　　3、当本基金发生大额申购或赎回情形时，基金管理人可以采用摆动定价机制，以确保基金估值的公平性，具体处理原则与操作规范遵循相关法律法规以及监管部门、自律规则的规定。</w:t>
      </w:r>
      <w:r>
        <w:rPr>
          <w:rFonts w:hint="eastAsia"/>
          <w:lang/>
        </w:rPr>
        <w:br/>
        <w:t xml:space="preserve">　　4、法律法规或监管部门另有规定的，从其规定。</w:t>
      </w:r>
    </w:p>
    <w:p w:rsidR="006E0410" w:rsidRDefault="006E0410" w:rsidP="00BA0DF6">
      <w:pPr>
        <w:pStyle w:val="XBRLTitle1"/>
        <w:spacing w:before="156" w:line="360" w:lineRule="auto"/>
        <w:divId w:val="1467160894"/>
        <w:rPr>
          <w:rFonts w:hint="eastAsia"/>
        </w:rPr>
      </w:pPr>
      <w:bookmarkStart w:id="77" w:name="_Toc34758525"/>
      <w:bookmarkStart w:id="78" w:name="_Toc513295899"/>
      <w:bookmarkStart w:id="79" w:name="_Toc513295851"/>
      <w:bookmarkStart w:id="80" w:name="_Toc512519487"/>
      <w:bookmarkStart w:id="81" w:name="_Toc490050008"/>
      <w:bookmarkStart w:id="82" w:name="_Toc438646458"/>
      <w:bookmarkStart w:id="83" w:name="_Toc481075054"/>
      <w:bookmarkStart w:id="84" w:name="_Toc17897942"/>
      <w:bookmarkStart w:id="85" w:name="_Toc17898186"/>
      <w:bookmarkStart w:id="86" w:name="_Toc34841034"/>
      <w:r>
        <w:rPr>
          <w:rFonts w:hAnsi="宋体" w:hint="eastAsia"/>
        </w:rPr>
        <w:t>日常赎回业务</w:t>
      </w:r>
      <w:bookmarkEnd w:id="77"/>
      <w:bookmarkEnd w:id="78"/>
      <w:bookmarkEnd w:id="79"/>
      <w:bookmarkEnd w:id="80"/>
      <w:bookmarkEnd w:id="81"/>
      <w:bookmarkEnd w:id="82"/>
      <w:bookmarkEnd w:id="83"/>
      <w:bookmarkEnd w:id="84"/>
      <w:bookmarkEnd w:id="85"/>
      <w:bookmarkEnd w:id="86"/>
      <w:r>
        <w:rPr>
          <w:rFonts w:hAnsi="宋体" w:hint="eastAsia"/>
          <w:szCs w:val="44"/>
        </w:rPr>
        <w:t xml:space="preserve"> </w:t>
      </w:r>
    </w:p>
    <w:p w:rsidR="006E0410" w:rsidRDefault="006E0410" w:rsidP="00BA0DF6">
      <w:pPr>
        <w:pStyle w:val="XBRLTitle2"/>
        <w:spacing w:before="156" w:line="360" w:lineRule="auto"/>
        <w:divId w:val="1464079138"/>
        <w:rPr>
          <w:rFonts w:hint="eastAsia"/>
        </w:rPr>
      </w:pPr>
      <w:bookmarkStart w:id="87" w:name="_Toc34758526"/>
      <w:bookmarkStart w:id="88" w:name="_Toc513295900"/>
      <w:bookmarkStart w:id="89" w:name="_Toc513295852"/>
      <w:bookmarkStart w:id="90" w:name="_Toc512519488"/>
      <w:bookmarkStart w:id="91" w:name="_Toc490050009"/>
      <w:bookmarkStart w:id="92" w:name="_Toc438646459"/>
      <w:bookmarkStart w:id="93" w:name="_Toc481075055"/>
      <w:bookmarkStart w:id="94" w:name="_Toc17897943"/>
      <w:bookmarkStart w:id="95" w:name="_Toc17898187"/>
      <w:bookmarkStart w:id="96" w:name="_Toc34841035"/>
      <w:r>
        <w:rPr>
          <w:rFonts w:hAnsi="宋体" w:hint="eastAsia"/>
        </w:rPr>
        <w:t>赎回份额限制</w:t>
      </w:r>
      <w:bookmarkEnd w:id="87"/>
      <w:bookmarkEnd w:id="88"/>
      <w:bookmarkEnd w:id="89"/>
      <w:bookmarkEnd w:id="90"/>
      <w:bookmarkEnd w:id="91"/>
      <w:bookmarkEnd w:id="92"/>
      <w:bookmarkEnd w:id="93"/>
      <w:bookmarkEnd w:id="94"/>
      <w:bookmarkEnd w:id="95"/>
      <w:bookmarkEnd w:id="96"/>
      <w:r>
        <w:rPr>
          <w:rFonts w:hAnsi="宋体" w:hint="eastAsia"/>
        </w:rPr>
        <w:t xml:space="preserve"> </w:t>
      </w:r>
    </w:p>
    <w:p w:rsidR="006E0410" w:rsidRDefault="006E0410">
      <w:pPr>
        <w:spacing w:line="360" w:lineRule="auto"/>
        <w:ind w:firstLineChars="200" w:firstLine="420"/>
        <w:divId w:val="1464079138"/>
        <w:rPr>
          <w:rFonts w:hint="eastAsia"/>
        </w:rPr>
      </w:pPr>
      <w:r>
        <w:rPr>
          <w:rFonts w:hint="eastAsia"/>
          <w:lang/>
        </w:rPr>
        <w:t>1、基金份额持有人在销售机构赎回时，每次赎回申请不得低于1份基金份额。基金份额持有人赎回时或赎回后在销售机构（网点）保留的基金份额余额不足1份的，在赎回时需一次全部赎回。</w:t>
      </w:r>
      <w:r>
        <w:rPr>
          <w:rFonts w:hint="eastAsia"/>
          <w:lang/>
        </w:rPr>
        <w:br/>
        <w:t xml:space="preserve">　　2、基金管理人可在法律法规允许的情况下，调整上述规定赎回份额的数量限制。基金管理人必须在调整实施前依照《信息披露办法》的有关规定在规定媒介上公告。 </w:t>
      </w:r>
    </w:p>
    <w:p w:rsidR="006E0410" w:rsidRDefault="006E0410" w:rsidP="00BA0DF6">
      <w:pPr>
        <w:pStyle w:val="XBRLTitle2"/>
        <w:spacing w:before="156" w:line="360" w:lineRule="auto"/>
        <w:divId w:val="363095170"/>
        <w:rPr>
          <w:rFonts w:hint="eastAsia"/>
        </w:rPr>
      </w:pPr>
      <w:bookmarkStart w:id="97" w:name="_Toc34758527"/>
      <w:bookmarkStart w:id="98" w:name="_Toc513295901"/>
      <w:bookmarkStart w:id="99" w:name="_Toc513295853"/>
      <w:bookmarkStart w:id="100" w:name="_Toc512519489"/>
      <w:bookmarkStart w:id="101" w:name="_Toc490050010"/>
      <w:bookmarkStart w:id="102" w:name="_Toc438646460"/>
      <w:bookmarkStart w:id="103" w:name="_Toc481075056"/>
      <w:bookmarkStart w:id="104" w:name="_Toc17897944"/>
      <w:bookmarkStart w:id="105" w:name="_Toc17898188"/>
      <w:bookmarkStart w:id="106" w:name="_Toc34841036"/>
      <w:bookmarkStart w:id="107" w:name="m402"/>
      <w:r>
        <w:rPr>
          <w:rFonts w:hAnsi="宋体" w:hint="eastAsia"/>
        </w:rPr>
        <w:t>赎回费率</w:t>
      </w:r>
      <w:bookmarkEnd w:id="97"/>
      <w:bookmarkEnd w:id="98"/>
      <w:bookmarkEnd w:id="99"/>
      <w:bookmarkEnd w:id="100"/>
      <w:bookmarkEnd w:id="101"/>
      <w:bookmarkEnd w:id="102"/>
      <w:bookmarkEnd w:id="103"/>
      <w:bookmarkEnd w:id="104"/>
      <w:bookmarkEnd w:id="105"/>
      <w:bookmarkEnd w:id="106"/>
      <w:r>
        <w:rPr>
          <w:rFonts w:hAnsi="宋体" w:hint="eastAsia"/>
        </w:rPr>
        <w:t xml:space="preserve"> </w:t>
      </w:r>
    </w:p>
    <w:bookmarkEnd w:id="107"/>
    <w:p w:rsidR="006E0410" w:rsidRDefault="006E0410">
      <w:pPr>
        <w:wordWrap w:val="0"/>
        <w:spacing w:line="360" w:lineRule="auto"/>
        <w:ind w:firstLineChars="200" w:firstLine="420"/>
        <w:divId w:val="363095170"/>
        <w:rPr>
          <w:rFonts w:hint="eastAsia"/>
        </w:rPr>
      </w:pPr>
      <w:r>
        <w:rPr>
          <w:rFonts w:hint="eastAsia"/>
          <w:lang/>
        </w:rPr>
        <w:t>赎回费率见下表：</w:t>
      </w:r>
      <w:r>
        <w:rPr>
          <w:rFonts w:hint="eastAsia"/>
          <w:lang/>
        </w:rPr>
        <w:br/>
        <w:t xml:space="preserve">　　持有期间（D）　　赎回费率</w:t>
      </w:r>
      <w:r>
        <w:rPr>
          <w:rFonts w:hint="eastAsia"/>
          <w:lang/>
        </w:rPr>
        <w:br/>
        <w:t xml:space="preserve">　　D&lt;7天　 1.50%</w:t>
      </w:r>
      <w:r>
        <w:rPr>
          <w:rFonts w:hint="eastAsia"/>
          <w:lang/>
        </w:rPr>
        <w:br/>
        <w:t xml:space="preserve">　　7天≤D&lt;30天　 0.10%</w:t>
      </w:r>
      <w:r>
        <w:rPr>
          <w:rFonts w:hint="eastAsia"/>
          <w:lang/>
        </w:rPr>
        <w:br/>
        <w:t xml:space="preserve">　　D≥30天　 0%</w:t>
      </w:r>
      <w:r>
        <w:rPr>
          <w:rFonts w:hint="eastAsia"/>
          <w:lang/>
        </w:rPr>
        <w:br/>
        <w:t xml:space="preserve">　　本基金的赎回费用由基金份额持有人承担，对于持续持有期少于7日的投资者收取的赎回费全额计入基金财产，对其余投资者收取的赎回费不低于赎回费总额的25%计入基金财产，未归入基金财产的部分用于支付登记费和其他必要的手续费。</w:t>
      </w:r>
      <w:r>
        <w:rPr>
          <w:rFonts w:hint="eastAsia"/>
        </w:rPr>
        <w:t xml:space="preserve"> </w:t>
      </w:r>
    </w:p>
    <w:p w:rsidR="006E0410" w:rsidRDefault="006E0410">
      <w:pPr>
        <w:spacing w:line="360" w:lineRule="auto"/>
        <w:ind w:firstLineChars="200" w:firstLine="420"/>
        <w:divId w:val="363095170"/>
        <w:rPr>
          <w:rFonts w:hint="eastAsia"/>
          <w:szCs w:val="21"/>
          <w:lang/>
        </w:rPr>
      </w:pPr>
      <w:r>
        <w:rPr>
          <w:rFonts w:hint="eastAsia"/>
          <w:szCs w:val="21"/>
          <w:lang/>
        </w:rPr>
        <w:t>无。</w:t>
      </w:r>
    </w:p>
    <w:p w:rsidR="006E0410" w:rsidRDefault="006E0410" w:rsidP="00BA0DF6">
      <w:pPr>
        <w:pStyle w:val="XBRLTitle2"/>
        <w:spacing w:before="156" w:line="360" w:lineRule="auto"/>
        <w:divId w:val="1806659884"/>
        <w:rPr>
          <w:rFonts w:hint="eastAsia"/>
        </w:rPr>
      </w:pPr>
      <w:bookmarkStart w:id="108" w:name="m403"/>
      <w:bookmarkStart w:id="109" w:name="_Toc34841037"/>
      <w:bookmarkStart w:id="110" w:name="_Toc17898192"/>
      <w:bookmarkStart w:id="111" w:name="_Toc17897946"/>
      <w:bookmarkStart w:id="112" w:name="_Toc481075061"/>
      <w:bookmarkStart w:id="113" w:name="_Toc490050014"/>
      <w:bookmarkStart w:id="114" w:name="_Toc512519493"/>
      <w:bookmarkStart w:id="115" w:name="_Toc513295855"/>
      <w:bookmarkStart w:id="116" w:name="_Toc513295905"/>
      <w:bookmarkStart w:id="117" w:name="_Toc34758528"/>
      <w:bookmarkStart w:id="118" w:name="m405_01_2550"/>
      <w:bookmarkEnd w:id="108"/>
      <w:r>
        <w:rPr>
          <w:rFonts w:hAnsi="宋体" w:hint="eastAsia"/>
        </w:rPr>
        <w:t>其他与赎回相关的事项</w:t>
      </w:r>
      <w:bookmarkEnd w:id="109"/>
      <w:bookmarkEnd w:id="110"/>
      <w:bookmarkEnd w:id="111"/>
      <w:bookmarkEnd w:id="112"/>
      <w:bookmarkEnd w:id="113"/>
      <w:bookmarkEnd w:id="114"/>
      <w:bookmarkEnd w:id="115"/>
      <w:bookmarkEnd w:id="116"/>
      <w:bookmarkEnd w:id="117"/>
      <w:r>
        <w:rPr>
          <w:rFonts w:hAnsi="宋体" w:hint="eastAsia"/>
        </w:rPr>
        <w:t xml:space="preserve"> </w:t>
      </w:r>
    </w:p>
    <w:p w:rsidR="006E0410" w:rsidRDefault="006E0410">
      <w:pPr>
        <w:spacing w:line="360" w:lineRule="auto"/>
        <w:ind w:firstLineChars="200" w:firstLine="420"/>
        <w:divId w:val="1806659884"/>
        <w:rPr>
          <w:rFonts w:hint="eastAsia"/>
        </w:rPr>
      </w:pPr>
      <w:r>
        <w:rPr>
          <w:rFonts w:hint="eastAsia"/>
          <w:lang/>
        </w:rPr>
        <w:t>1、基金管理人可以在基金合同约定的范围内调整费率或收费方式，并最迟应于新的费率或收费方式实施日前依照《信息披露办法》的有关规定在规定媒介上公告。</w:t>
      </w:r>
      <w:r>
        <w:rPr>
          <w:rFonts w:hint="eastAsia"/>
          <w:lang/>
        </w:rPr>
        <w:br/>
        <w:t xml:space="preserve">　　2、基金管理人可以在不违反法律法规规定及基金合同约定的情形下根据市场情况制定基金促销计划。针对基金投资者定期和不定期地开展基金促销活动。在基金促销活动期间，按相关监管部门要求履行必要手续后，基金管理人可以适当调低基金申购费率和基金赎回费率并进行公告。</w:t>
      </w:r>
      <w:r>
        <w:rPr>
          <w:rFonts w:hint="eastAsia"/>
          <w:lang/>
        </w:rPr>
        <w:br/>
        <w:t xml:space="preserve">　　3、当本基金发生大额申购或赎回情形时，基金管理人可以采用摆动定价机制，以确保基金估值的公平性，具体处理原则与操作规范遵循相关法律法规以及监管部门、自律规则的规定。</w:t>
      </w:r>
      <w:r>
        <w:rPr>
          <w:rFonts w:hint="eastAsia"/>
          <w:lang/>
        </w:rPr>
        <w:br/>
        <w:t xml:space="preserve">　　4、法律法规或监管部门另有规定的，从其规定。</w:t>
      </w:r>
    </w:p>
    <w:p w:rsidR="006E0410" w:rsidRDefault="006E0410" w:rsidP="00BA0DF6">
      <w:pPr>
        <w:pStyle w:val="XBRLTitle1"/>
        <w:spacing w:before="156" w:line="360" w:lineRule="auto"/>
        <w:divId w:val="1751198312"/>
        <w:rPr>
          <w:rFonts w:hint="eastAsia"/>
        </w:rPr>
      </w:pPr>
      <w:bookmarkStart w:id="119" w:name="_Toc34758529"/>
      <w:bookmarkStart w:id="120" w:name="_Toc513295908"/>
      <w:bookmarkStart w:id="121" w:name="_Toc513295858"/>
      <w:bookmarkStart w:id="122" w:name="_Toc490050017"/>
      <w:bookmarkStart w:id="123" w:name="_Toc438646466"/>
      <w:bookmarkStart w:id="124" w:name="_Toc481075064"/>
      <w:bookmarkStart w:id="125" w:name="_Toc512519496"/>
      <w:bookmarkStart w:id="126" w:name="_Toc17897949"/>
      <w:bookmarkStart w:id="127" w:name="_Toc17898195"/>
      <w:bookmarkStart w:id="128" w:name="_Toc34841038"/>
      <w:bookmarkEnd w:id="118"/>
      <w:r>
        <w:rPr>
          <w:rFonts w:hAnsi="宋体" w:hint="eastAsia"/>
        </w:rPr>
        <w:t>日常转换业务</w:t>
      </w:r>
      <w:bookmarkEnd w:id="119"/>
      <w:bookmarkEnd w:id="120"/>
      <w:bookmarkEnd w:id="121"/>
      <w:bookmarkEnd w:id="122"/>
      <w:bookmarkEnd w:id="123"/>
      <w:bookmarkEnd w:id="124"/>
      <w:bookmarkEnd w:id="125"/>
      <w:bookmarkEnd w:id="126"/>
      <w:bookmarkEnd w:id="127"/>
      <w:bookmarkEnd w:id="128"/>
      <w:r>
        <w:rPr>
          <w:rFonts w:hAnsi="宋体" w:hint="eastAsia"/>
        </w:rPr>
        <w:t xml:space="preserve"> </w:t>
      </w:r>
    </w:p>
    <w:p w:rsidR="006E0410" w:rsidRDefault="006E0410" w:rsidP="00BA0DF6">
      <w:pPr>
        <w:pStyle w:val="XBRLTitle2"/>
        <w:spacing w:before="156" w:line="360" w:lineRule="auto"/>
        <w:divId w:val="2039623436"/>
        <w:rPr>
          <w:rFonts w:hint="eastAsia"/>
        </w:rPr>
      </w:pPr>
      <w:bookmarkStart w:id="129" w:name="_Toc34758530"/>
      <w:bookmarkStart w:id="130" w:name="_Toc513295909"/>
      <w:bookmarkStart w:id="131" w:name="_Toc513295859"/>
      <w:bookmarkStart w:id="132" w:name="_Toc512519497"/>
      <w:bookmarkStart w:id="133" w:name="_Toc490050018"/>
      <w:bookmarkStart w:id="134" w:name="_Toc438646467"/>
      <w:bookmarkStart w:id="135" w:name="_Toc481075065"/>
      <w:bookmarkStart w:id="136" w:name="_Toc17897950"/>
      <w:bookmarkStart w:id="137" w:name="_Toc17898196"/>
      <w:bookmarkStart w:id="138" w:name="_Toc34841039"/>
      <w:bookmarkStart w:id="139" w:name="m501"/>
      <w:r>
        <w:rPr>
          <w:rFonts w:hAnsi="宋体" w:hint="eastAsia"/>
        </w:rPr>
        <w:t>转换费率</w:t>
      </w:r>
      <w:bookmarkEnd w:id="129"/>
      <w:bookmarkEnd w:id="130"/>
      <w:bookmarkEnd w:id="131"/>
      <w:bookmarkEnd w:id="132"/>
      <w:bookmarkEnd w:id="133"/>
      <w:bookmarkEnd w:id="134"/>
      <w:bookmarkEnd w:id="135"/>
      <w:bookmarkEnd w:id="136"/>
      <w:bookmarkEnd w:id="137"/>
      <w:bookmarkEnd w:id="138"/>
      <w:r>
        <w:rPr>
          <w:rFonts w:hAnsi="宋体" w:hint="eastAsia"/>
        </w:rPr>
        <w:t xml:space="preserve"> </w:t>
      </w:r>
    </w:p>
    <w:p w:rsidR="006E0410" w:rsidRDefault="006E0410">
      <w:pPr>
        <w:spacing w:line="360" w:lineRule="auto"/>
        <w:ind w:firstLineChars="200" w:firstLine="420"/>
        <w:divId w:val="2039623436"/>
        <w:rPr>
          <w:rFonts w:hint="eastAsia"/>
        </w:rPr>
      </w:pPr>
      <w:r>
        <w:rPr>
          <w:rFonts w:hint="eastAsia"/>
          <w:lang/>
        </w:rPr>
        <w:t>基金转换费用由补差费和转出费两部分构成，具体收取情况视每次转换时两只基金的申购费率差异情况和转出基金的赎回费率而定。基金转换费用的具体计算公式如下：</w:t>
      </w:r>
      <w:r>
        <w:rPr>
          <w:rFonts w:hint="eastAsia"/>
          <w:lang/>
        </w:rPr>
        <w:br/>
        <w:t xml:space="preserve">　　1、转换费用=转出费+补差费</w:t>
      </w:r>
      <w:r>
        <w:rPr>
          <w:rFonts w:hint="eastAsia"/>
          <w:lang/>
        </w:rPr>
        <w:br/>
        <w:t xml:space="preserve">　　2、转出费=转出金额×转出基金赎回费率</w:t>
      </w:r>
      <w:r>
        <w:rPr>
          <w:rFonts w:hint="eastAsia"/>
          <w:lang/>
        </w:rPr>
        <w:br/>
        <w:t xml:space="preserve">　　3、转出金额=转出基金份额×转出基金当日基金份额净值</w:t>
      </w:r>
      <w:r>
        <w:rPr>
          <w:rFonts w:hint="eastAsia"/>
          <w:lang/>
        </w:rPr>
        <w:br/>
        <w:t xml:space="preserve">　　4、补差费=Max（｛转出净金额×转入基金的申购费率/(1+转入基金的申购费率) ｝－｛转出净金额×转出基金的申购费率/(1+转出基金的申购费率) ｝，0）</w:t>
      </w:r>
      <w:r>
        <w:rPr>
          <w:rFonts w:hint="eastAsia"/>
          <w:lang/>
        </w:rPr>
        <w:br/>
        <w:t xml:space="preserve">　　5、转入净金额=转出金额-转换费用</w:t>
      </w:r>
      <w:r>
        <w:rPr>
          <w:rFonts w:hint="eastAsia"/>
          <w:lang/>
        </w:rPr>
        <w:br/>
        <w:t xml:space="preserve">　　6、转出净金额=转出基金份额×转出基金当日基金份额净值×（1－转出基</w:t>
      </w:r>
      <w:r>
        <w:rPr>
          <w:rFonts w:hint="eastAsia"/>
          <w:lang/>
        </w:rPr>
        <w:br/>
        <w:t xml:space="preserve">　　金赎回费率）</w:t>
      </w:r>
      <w:r>
        <w:rPr>
          <w:rFonts w:hint="eastAsia"/>
          <w:lang/>
        </w:rPr>
        <w:br/>
        <w:t xml:space="preserve">　　7、转入份额=转入净金额/转入基金当日基金份额净值</w:t>
      </w:r>
    </w:p>
    <w:p w:rsidR="006E0410" w:rsidRDefault="006E0410" w:rsidP="00BA0DF6">
      <w:pPr>
        <w:pStyle w:val="XBRLTitle2"/>
        <w:spacing w:before="156" w:line="360" w:lineRule="auto"/>
        <w:divId w:val="87191212"/>
        <w:rPr>
          <w:rFonts w:hint="eastAsia"/>
        </w:rPr>
      </w:pPr>
      <w:bookmarkStart w:id="140" w:name="m502"/>
      <w:bookmarkStart w:id="141" w:name="_Toc438646470"/>
      <w:bookmarkStart w:id="142" w:name="m504"/>
      <w:bookmarkStart w:id="143" w:name="_Toc34758531"/>
      <w:bookmarkStart w:id="144" w:name="_Toc513295913"/>
      <w:bookmarkStart w:id="145" w:name="_Toc513295861"/>
      <w:bookmarkStart w:id="146" w:name="_Toc512519501"/>
      <w:bookmarkStart w:id="147" w:name="_Toc490050022"/>
      <w:bookmarkStart w:id="148" w:name="_Toc481075069"/>
      <w:bookmarkStart w:id="149" w:name="_Toc17897952"/>
      <w:bookmarkStart w:id="150" w:name="_Toc17898200"/>
      <w:bookmarkStart w:id="151" w:name="_Toc34841040"/>
      <w:bookmarkEnd w:id="139"/>
      <w:r>
        <w:rPr>
          <w:rFonts w:hAnsi="宋体" w:hint="eastAsia"/>
        </w:rPr>
        <w:t>其他与转换相关的事项</w:t>
      </w:r>
      <w:bookmarkEnd w:id="140"/>
      <w:bookmarkEnd w:id="141"/>
      <w:bookmarkEnd w:id="142"/>
      <w:bookmarkEnd w:id="143"/>
      <w:bookmarkEnd w:id="144"/>
      <w:bookmarkEnd w:id="145"/>
      <w:bookmarkEnd w:id="146"/>
      <w:bookmarkEnd w:id="147"/>
      <w:bookmarkEnd w:id="148"/>
      <w:bookmarkEnd w:id="149"/>
      <w:bookmarkEnd w:id="150"/>
      <w:bookmarkEnd w:id="151"/>
      <w:r>
        <w:rPr>
          <w:rFonts w:hAnsi="宋体" w:hint="eastAsia"/>
        </w:rPr>
        <w:t xml:space="preserve"> </w:t>
      </w:r>
    </w:p>
    <w:p w:rsidR="006E0410" w:rsidRDefault="006E0410" w:rsidP="00282501">
      <w:pPr>
        <w:spacing w:line="360" w:lineRule="auto"/>
        <w:ind w:firstLineChars="200" w:firstLine="420"/>
        <w:divId w:val="87191212"/>
        <w:rPr>
          <w:rFonts w:hint="eastAsia"/>
        </w:rPr>
      </w:pPr>
      <w:r>
        <w:rPr>
          <w:rFonts w:hint="eastAsia"/>
          <w:kern w:val="0"/>
          <w:szCs w:val="21"/>
          <w:lang/>
        </w:rPr>
        <w:t>5.2.1 适用基金范围</w:t>
      </w:r>
      <w:r>
        <w:rPr>
          <w:rFonts w:hint="eastAsia"/>
          <w:kern w:val="0"/>
          <w:szCs w:val="21"/>
          <w:lang/>
        </w:rPr>
        <w:br/>
        <w:t xml:space="preserve">　　本基金转换业务适用于本基金与本公司募集管理并且在本公司注册登记的下列基金，投资者可以在下列基金的开放期内，申请办理本基金与下列基金的转换业务，本基金可以与下列基金互相转换：</w:t>
      </w:r>
      <w:r>
        <w:rPr>
          <w:rFonts w:hint="eastAsia"/>
          <w:kern w:val="0"/>
          <w:szCs w:val="21"/>
          <w:lang/>
        </w:rPr>
        <w:br/>
        <w:t xml:space="preserve">　　（1）太平灵活配置混合型发起式证券投资基金（000986）；</w:t>
      </w:r>
      <w:r>
        <w:rPr>
          <w:rFonts w:hint="eastAsia"/>
          <w:kern w:val="0"/>
          <w:szCs w:val="21"/>
          <w:lang/>
        </w:rPr>
        <w:br/>
        <w:t xml:space="preserve">　　（2）太平日日鑫货币市场基金（A 类份额：004330；B 类份额：004331；E类份额：025454）；</w:t>
      </w:r>
      <w:r>
        <w:rPr>
          <w:rFonts w:hint="eastAsia"/>
          <w:kern w:val="0"/>
          <w:szCs w:val="21"/>
          <w:lang/>
        </w:rPr>
        <w:br/>
        <w:t xml:space="preserve">　　（3）太平日日金货币市场基金（A 类份额：003398；B 类份额：003399；E类份额：025469）；</w:t>
      </w:r>
      <w:r>
        <w:rPr>
          <w:rFonts w:hint="eastAsia"/>
          <w:kern w:val="0"/>
          <w:szCs w:val="21"/>
          <w:lang/>
        </w:rPr>
        <w:br/>
        <w:t xml:space="preserve">　　（4）太平睿盈混合证券投资基金（A 类份额：006973；C 类份额：007669）；</w:t>
      </w:r>
      <w:r>
        <w:rPr>
          <w:rFonts w:hint="eastAsia"/>
          <w:kern w:val="0"/>
          <w:szCs w:val="21"/>
          <w:lang/>
        </w:rPr>
        <w:br/>
        <w:t xml:space="preserve">　　（5）太平改革红利精选灵活配置混合型证券投资基金（005270）；</w:t>
      </w:r>
      <w:r>
        <w:rPr>
          <w:rFonts w:hint="eastAsia"/>
          <w:kern w:val="0"/>
          <w:szCs w:val="21"/>
          <w:lang/>
        </w:rPr>
        <w:br/>
        <w:t xml:space="preserve">　　（6）太平恒利纯债债券型证券投资基金（005872）；</w:t>
      </w:r>
      <w:r>
        <w:rPr>
          <w:rFonts w:hint="eastAsia"/>
          <w:kern w:val="0"/>
          <w:szCs w:val="21"/>
          <w:lang/>
        </w:rPr>
        <w:br/>
        <w:t xml:space="preserve">　　（7）太平行业优选股票型证券投资基金（A类份额：009537；C类份额：009538）；</w:t>
      </w:r>
      <w:r>
        <w:rPr>
          <w:rFonts w:hint="eastAsia"/>
          <w:kern w:val="0"/>
          <w:szCs w:val="21"/>
          <w:lang/>
        </w:rPr>
        <w:br/>
        <w:t xml:space="preserve">　　（8）太平恒睿纯债债券型证券投资基金（009118）；</w:t>
      </w:r>
      <w:r>
        <w:rPr>
          <w:rFonts w:hint="eastAsia"/>
          <w:kern w:val="0"/>
          <w:szCs w:val="21"/>
          <w:lang/>
        </w:rPr>
        <w:br/>
        <w:t xml:space="preserve">　　（9）太平中债1-3年政策性金融债指数证券投资基金（A类份额：009087；C类份额：009088；D类份额：021597）；</w:t>
      </w:r>
      <w:r>
        <w:rPr>
          <w:rFonts w:hint="eastAsia"/>
          <w:kern w:val="0"/>
          <w:szCs w:val="21"/>
          <w:lang/>
        </w:rPr>
        <w:br/>
        <w:t xml:space="preserve">　　（10）太平恒安三个月定期开放债券型证券投资基金（007545）；</w:t>
      </w:r>
      <w:r>
        <w:rPr>
          <w:rFonts w:hint="eastAsia"/>
          <w:kern w:val="0"/>
          <w:szCs w:val="21"/>
          <w:lang/>
        </w:rPr>
        <w:br/>
        <w:t xml:space="preserve">　　（11）太平睿安混合型证券投资基金（A类份额：010268；C类份额：010269）；</w:t>
      </w:r>
      <w:r>
        <w:rPr>
          <w:rFonts w:hint="eastAsia"/>
          <w:kern w:val="0"/>
          <w:szCs w:val="21"/>
          <w:lang/>
        </w:rPr>
        <w:br/>
        <w:t xml:space="preserve">　　（12）太平价值增长股票型证券投资基金（A类份额：010896；C类份额：010897）；</w:t>
      </w:r>
      <w:r>
        <w:rPr>
          <w:rFonts w:hint="eastAsia"/>
          <w:kern w:val="0"/>
          <w:szCs w:val="21"/>
          <w:lang/>
        </w:rPr>
        <w:br/>
        <w:t xml:space="preserve">　　（13）太平智行三个月定期开放混合型发起式证券投资基金（013422）；</w:t>
      </w:r>
      <w:r>
        <w:rPr>
          <w:rFonts w:hint="eastAsia"/>
          <w:kern w:val="0"/>
          <w:szCs w:val="21"/>
          <w:lang/>
        </w:rPr>
        <w:br/>
        <w:t xml:space="preserve">　　（14） 太平睿享混合型证券投资基金（A类份额：013260；C类份额：013261）；</w:t>
      </w:r>
      <w:r>
        <w:rPr>
          <w:rFonts w:hint="eastAsia"/>
          <w:kern w:val="0"/>
          <w:szCs w:val="21"/>
          <w:lang/>
        </w:rPr>
        <w:br/>
        <w:t xml:space="preserve">　　（15）太平恒兴纯债债券型证券投资基金（014055）； </w:t>
      </w:r>
      <w:r>
        <w:rPr>
          <w:rFonts w:hint="eastAsia"/>
          <w:kern w:val="0"/>
          <w:szCs w:val="21"/>
          <w:lang/>
        </w:rPr>
        <w:br/>
        <w:t xml:space="preserve">　　（16）太平睿庆混合型证券投资基金（A类份额：014053；C类份额：014054）；</w:t>
      </w:r>
      <w:r>
        <w:rPr>
          <w:rFonts w:hint="eastAsia"/>
          <w:kern w:val="0"/>
          <w:szCs w:val="21"/>
          <w:lang/>
        </w:rPr>
        <w:br/>
        <w:t xml:space="preserve">　　（17）太平中证1000指数增强型证券投资基金（A类份额：015466；C类份额：015467）；</w:t>
      </w:r>
      <w:r>
        <w:rPr>
          <w:rFonts w:hint="eastAsia"/>
          <w:kern w:val="0"/>
          <w:szCs w:val="21"/>
          <w:lang/>
        </w:rPr>
        <w:br/>
        <w:t xml:space="preserve">　　（18）太平安元债券型证券投资基金（A类份额：015437；C类份额：015449）；</w:t>
      </w:r>
      <w:r>
        <w:rPr>
          <w:rFonts w:hint="eastAsia"/>
          <w:kern w:val="0"/>
          <w:szCs w:val="21"/>
          <w:lang/>
        </w:rPr>
        <w:br/>
        <w:t xml:space="preserve">　　（19）太平嘉和三个月定期开放债券型发起式证券投资基金（015959）；</w:t>
      </w:r>
      <w:r>
        <w:rPr>
          <w:rFonts w:hint="eastAsia"/>
          <w:kern w:val="0"/>
          <w:szCs w:val="21"/>
          <w:lang/>
        </w:rPr>
        <w:br/>
        <w:t xml:space="preserve">　　（20）太平中证同业存单AAA指数7天持有期证券投资基金（017563）； </w:t>
      </w:r>
      <w:r>
        <w:rPr>
          <w:rFonts w:hint="eastAsia"/>
          <w:kern w:val="0"/>
          <w:szCs w:val="21"/>
          <w:lang/>
        </w:rPr>
        <w:br/>
        <w:t xml:space="preserve">　　（21）太平恒信6个月定期开放债券型证券投资基金（015961）；</w:t>
      </w:r>
      <w:r>
        <w:rPr>
          <w:rFonts w:hint="eastAsia"/>
          <w:kern w:val="0"/>
          <w:szCs w:val="21"/>
          <w:lang/>
        </w:rPr>
        <w:br/>
        <w:t xml:space="preserve">　　（22）太平丰盈一年定期开放债券型发起式证券投资基金（011327）；</w:t>
      </w:r>
      <w:r>
        <w:rPr>
          <w:rFonts w:hint="eastAsia"/>
          <w:kern w:val="0"/>
          <w:szCs w:val="21"/>
          <w:lang/>
        </w:rPr>
        <w:br/>
        <w:t xml:space="preserve">　　（23）太平丰泰一年定期开放债券型发起式证券投资基金（012140）；</w:t>
      </w:r>
      <w:r>
        <w:rPr>
          <w:rFonts w:hint="eastAsia"/>
          <w:kern w:val="0"/>
          <w:szCs w:val="21"/>
          <w:lang/>
        </w:rPr>
        <w:br/>
        <w:t xml:space="preserve">　　（24）太平恒泰三个月定期开放债券型证券投资基金（A类份额018100；C 类份额：020596）；</w:t>
      </w:r>
      <w:r>
        <w:rPr>
          <w:rFonts w:hint="eastAsia"/>
          <w:kern w:val="0"/>
          <w:szCs w:val="21"/>
          <w:lang/>
        </w:rPr>
        <w:br/>
        <w:t xml:space="preserve">　　（25）太平低碳经济混合型发起式证券投资基金（A类份额：018327；C类份额：018328）；</w:t>
      </w:r>
      <w:r>
        <w:rPr>
          <w:rFonts w:hint="eastAsia"/>
          <w:kern w:val="0"/>
          <w:szCs w:val="21"/>
          <w:lang/>
        </w:rPr>
        <w:br/>
        <w:t xml:space="preserve">　　（26）太平丰和一年定期开放债券型发起式证券投资基金（010165）；</w:t>
      </w:r>
      <w:r>
        <w:rPr>
          <w:rFonts w:hint="eastAsia"/>
          <w:kern w:val="0"/>
          <w:szCs w:val="21"/>
          <w:lang/>
        </w:rPr>
        <w:br/>
        <w:t xml:space="preserve">　　（27）太平绿色纯债一年定期开放债券型发起式证券投资基金（016506）；</w:t>
      </w:r>
      <w:r>
        <w:rPr>
          <w:rFonts w:hint="eastAsia"/>
          <w:kern w:val="0"/>
          <w:szCs w:val="21"/>
          <w:lang/>
        </w:rPr>
        <w:br/>
        <w:t xml:space="preserve">　　（28）太平科创精选混合型发起式证券投资基金（A类份额：019575；C类份额：019574）;</w:t>
      </w:r>
      <w:r>
        <w:rPr>
          <w:rFonts w:hint="eastAsia"/>
          <w:kern w:val="0"/>
          <w:szCs w:val="21"/>
          <w:lang/>
        </w:rPr>
        <w:br/>
        <w:t xml:space="preserve">　　（29）太平先进制造混合型发起式证券投资基金（A类份额：020071；C类份额：020072）；</w:t>
      </w:r>
      <w:r>
        <w:rPr>
          <w:rFonts w:hint="eastAsia"/>
          <w:kern w:val="0"/>
          <w:szCs w:val="21"/>
          <w:lang/>
        </w:rPr>
        <w:br/>
        <w:t xml:space="preserve">　　（30）太平医疗创新混合型发起式证券投资基金（A类份额：021027；C类份额：021028）；</w:t>
      </w:r>
      <w:r>
        <w:rPr>
          <w:rFonts w:hint="eastAsia"/>
          <w:kern w:val="0"/>
          <w:szCs w:val="21"/>
          <w:lang/>
        </w:rPr>
        <w:br/>
        <w:t xml:space="preserve">　　（31）太平恒发三个月定期开放债券型证券投资基金（020924）；</w:t>
      </w:r>
      <w:r>
        <w:rPr>
          <w:rFonts w:hint="eastAsia"/>
          <w:kern w:val="0"/>
          <w:szCs w:val="21"/>
          <w:lang/>
        </w:rPr>
        <w:br/>
        <w:t xml:space="preserve">　　（32）太平量化选股混合型证券投资基金（A类份额：021884；C类份额：021885）；</w:t>
      </w:r>
      <w:r>
        <w:rPr>
          <w:rFonts w:hint="eastAsia"/>
          <w:kern w:val="0"/>
          <w:szCs w:val="21"/>
          <w:lang/>
        </w:rPr>
        <w:br/>
        <w:t xml:space="preserve">　　（33）太平恒庆利率债债券型证券投资基金（A类份额：022639；C类份额：022640）；</w:t>
      </w:r>
      <w:r>
        <w:rPr>
          <w:rFonts w:hint="eastAsia"/>
          <w:kern w:val="0"/>
          <w:szCs w:val="21"/>
          <w:lang/>
        </w:rPr>
        <w:br/>
        <w:t xml:space="preserve">　　（34）太平中证红利指数型证券投资基金（A类份额：023182；C类份额：023183）；</w:t>
      </w:r>
      <w:r>
        <w:rPr>
          <w:rFonts w:hint="eastAsia"/>
          <w:kern w:val="0"/>
          <w:szCs w:val="21"/>
          <w:lang/>
        </w:rPr>
        <w:br/>
        <w:t xml:space="preserve">　　（35）太平中证A500指数增强型证券投资基金（A类份额：023473；C类份额：023474）；</w:t>
      </w:r>
      <w:r>
        <w:rPr>
          <w:rFonts w:hint="eastAsia"/>
          <w:kern w:val="0"/>
          <w:szCs w:val="21"/>
          <w:lang/>
        </w:rPr>
        <w:br/>
        <w:t xml:space="preserve">　　（36）太平科技先锋混合型发起式证券投资基金（A类份额：023044；C类份额：023045）。</w:t>
      </w:r>
      <w:r>
        <w:rPr>
          <w:rFonts w:hint="eastAsia"/>
          <w:kern w:val="0"/>
          <w:szCs w:val="21"/>
          <w:lang/>
        </w:rPr>
        <w:br/>
        <w:t xml:space="preserve">　　5.2.2转换限额</w:t>
      </w:r>
      <w:r>
        <w:rPr>
          <w:rFonts w:hint="eastAsia"/>
          <w:kern w:val="0"/>
          <w:szCs w:val="21"/>
          <w:lang/>
        </w:rPr>
        <w:br/>
        <w:t xml:space="preserve">　　投资者在办理转换业务时，单笔转换基金份额不得低于100 份，销售机构有不同规定的，投资者在销售机构办理相关业务时，需遵循该销售机构的相关规定。如单一投资者转换转入后持有的基金份额超过基金总份额的50%，基金管理人可拒绝或暂停接受该投资人的转换转入申请。基金管理人可以依照相关法律法规以及基金合同的约定，在特定市场条件下暂停或者拒绝接受一定金额以上的转换转入申请。</w:t>
      </w:r>
      <w:r>
        <w:rPr>
          <w:rFonts w:hint="eastAsia"/>
          <w:kern w:val="0"/>
          <w:szCs w:val="21"/>
          <w:lang/>
        </w:rPr>
        <w:br/>
        <w:t xml:space="preserve">　　5.2.3适用销售机构</w:t>
      </w:r>
      <w:r>
        <w:rPr>
          <w:rFonts w:hint="eastAsia"/>
          <w:kern w:val="0"/>
          <w:szCs w:val="21"/>
          <w:lang/>
        </w:rPr>
        <w:br/>
        <w:t xml:space="preserve">　　（1）直销机构</w:t>
      </w:r>
      <w:r>
        <w:rPr>
          <w:rFonts w:hint="eastAsia"/>
          <w:kern w:val="0"/>
          <w:szCs w:val="21"/>
          <w:lang/>
        </w:rPr>
        <w:br/>
        <w:t xml:space="preserve">　　1）直销柜台</w:t>
      </w:r>
      <w:r>
        <w:rPr>
          <w:rFonts w:hint="eastAsia"/>
          <w:kern w:val="0"/>
          <w:szCs w:val="21"/>
          <w:lang/>
        </w:rPr>
        <w:br/>
        <w:t xml:space="preserve">　　名称：太平基金管理有限公司</w:t>
      </w:r>
      <w:r>
        <w:rPr>
          <w:rFonts w:hint="eastAsia"/>
          <w:kern w:val="0"/>
          <w:szCs w:val="21"/>
          <w:lang/>
        </w:rPr>
        <w:br/>
        <w:t xml:space="preserve">　　办公地址：上海市浦东新区银城中路488号太平金融大厦7楼、5楼503A</w:t>
      </w:r>
      <w:r>
        <w:rPr>
          <w:rFonts w:hint="eastAsia"/>
          <w:kern w:val="0"/>
          <w:szCs w:val="21"/>
          <w:lang/>
        </w:rPr>
        <w:br/>
        <w:t xml:space="preserve">　　联系电话：021-38556789</w:t>
      </w:r>
      <w:r>
        <w:rPr>
          <w:rFonts w:hint="eastAsia"/>
          <w:kern w:val="0"/>
          <w:szCs w:val="21"/>
          <w:lang/>
        </w:rPr>
        <w:br/>
        <w:t xml:space="preserve">　　传真：021-38556751</w:t>
      </w:r>
      <w:r>
        <w:rPr>
          <w:rFonts w:hint="eastAsia"/>
          <w:kern w:val="0"/>
          <w:szCs w:val="21"/>
          <w:lang/>
        </w:rPr>
        <w:br/>
        <w:t xml:space="preserve">　　网址：www.taipingfund.com.cn</w:t>
      </w:r>
      <w:r>
        <w:rPr>
          <w:rFonts w:hint="eastAsia"/>
          <w:kern w:val="0"/>
          <w:szCs w:val="21"/>
          <w:lang/>
        </w:rPr>
        <w:br/>
        <w:t xml:space="preserve">　　2）网上交易</w:t>
      </w:r>
      <w:r>
        <w:rPr>
          <w:rFonts w:hint="eastAsia"/>
          <w:kern w:val="0"/>
          <w:szCs w:val="21"/>
          <w:lang/>
        </w:rPr>
        <w:br/>
        <w:t xml:space="preserve">　　具体业务办理情况及业务规则请登录本公司网站查询。本公司网址www.taipingfund.com.cn。</w:t>
      </w:r>
      <w:r>
        <w:rPr>
          <w:rFonts w:hint="eastAsia"/>
          <w:kern w:val="0"/>
          <w:szCs w:val="21"/>
          <w:lang/>
        </w:rPr>
        <w:br/>
        <w:t xml:space="preserve">　　（2）代销机构</w:t>
      </w:r>
      <w:r>
        <w:rPr>
          <w:rFonts w:hint="eastAsia"/>
          <w:kern w:val="0"/>
          <w:szCs w:val="21"/>
          <w:lang/>
        </w:rPr>
        <w:br/>
        <w:t xml:space="preserve">　　本基金的代销机构可以根据自身情况，决定是否开通上述基金的转换业务，投资者在办理基金转换业务时，需遵循相关销售机构的规定及业务规则。</w:t>
      </w:r>
      <w:r>
        <w:rPr>
          <w:rFonts w:hint="eastAsia"/>
          <w:kern w:val="0"/>
          <w:szCs w:val="21"/>
          <w:lang/>
        </w:rPr>
        <w:br/>
        <w:t xml:space="preserve">　　5.2.4 转换业务规则</w:t>
      </w:r>
      <w:r>
        <w:rPr>
          <w:rFonts w:hint="eastAsia"/>
          <w:kern w:val="0"/>
          <w:szCs w:val="21"/>
          <w:lang/>
        </w:rPr>
        <w:br/>
        <w:t xml:space="preserve">　　基金转换只能在同一销售机构办理，且该销售机构同时代理转出基金及转入基金的销售。基金转换，以申请当日基金份额净值为基础计算。投资者采用“份额转换”的原则提交申请，基金转换遵循“先进先出”的原则。投资者办理基金转换业务时，转出的基金必须处于可赎回状态，转入的基金必须处于可申购状态，已经冻结的基金份额不得申请基金转换。</w:t>
      </w:r>
      <w:r>
        <w:rPr>
          <w:rFonts w:hint="eastAsia"/>
          <w:kern w:val="0"/>
          <w:szCs w:val="21"/>
          <w:lang/>
        </w:rPr>
        <w:br/>
        <w:t xml:space="preserve">　　5.2.5 交易确认</w:t>
      </w:r>
      <w:r>
        <w:rPr>
          <w:rFonts w:hint="eastAsia"/>
          <w:kern w:val="0"/>
          <w:szCs w:val="21"/>
          <w:lang/>
        </w:rPr>
        <w:br/>
        <w:t xml:space="preserve">　　转入的基金持有期自该部分基金份额登记于注册登记系统之日起开始计算。转入的基金在赎回或转出时，按照自基金转入确认日起至该部分基金份额赎回或转出确认日止的持有时段所适用的赎回费率档次计算其所应支付的赎回费。基金转换后可赎回的时间为T＋2日。 </w:t>
      </w:r>
    </w:p>
    <w:p w:rsidR="006E0410" w:rsidRDefault="006E0410" w:rsidP="00BA0DF6">
      <w:pPr>
        <w:pStyle w:val="XBRLTitle1"/>
        <w:spacing w:before="156" w:line="360" w:lineRule="auto"/>
        <w:divId w:val="1545822636"/>
        <w:rPr>
          <w:rFonts w:hint="eastAsia"/>
        </w:rPr>
      </w:pPr>
      <w:bookmarkStart w:id="152" w:name="_Toc3475852111"/>
      <w:bookmarkStart w:id="153" w:name="_Toc34841042"/>
      <w:r>
        <w:rPr>
          <w:rFonts w:hAnsi="宋体" w:hint="eastAsia"/>
        </w:rPr>
        <w:t>基金销售机构</w:t>
      </w:r>
      <w:bookmarkEnd w:id="31"/>
      <w:bookmarkEnd w:id="32"/>
      <w:bookmarkEnd w:id="33"/>
      <w:bookmarkEnd w:id="34"/>
      <w:bookmarkEnd w:id="35"/>
      <w:bookmarkEnd w:id="36"/>
      <w:bookmarkEnd w:id="37"/>
      <w:bookmarkEnd w:id="38"/>
      <w:bookmarkEnd w:id="152"/>
      <w:bookmarkEnd w:id="153"/>
      <w:r>
        <w:rPr>
          <w:rFonts w:hAnsi="宋体" w:hint="eastAsia"/>
        </w:rPr>
        <w:t xml:space="preserve"> </w:t>
      </w:r>
    </w:p>
    <w:p w:rsidR="006E0410" w:rsidRDefault="006E0410" w:rsidP="00BA0DF6">
      <w:pPr>
        <w:pStyle w:val="XBRLTitle2"/>
        <w:spacing w:before="156" w:line="360" w:lineRule="auto"/>
        <w:divId w:val="1584801831"/>
        <w:rPr>
          <w:rFonts w:hint="eastAsia"/>
        </w:rPr>
      </w:pPr>
      <w:bookmarkStart w:id="154" w:name="_Toc51346565811"/>
      <w:r>
        <w:rPr>
          <w:rFonts w:hAnsi="宋体" w:hint="eastAsia"/>
        </w:rPr>
        <w:t>场外销售机构</w:t>
      </w:r>
      <w:bookmarkEnd w:id="52"/>
      <w:bookmarkEnd w:id="53"/>
      <w:bookmarkEnd w:id="54"/>
      <w:bookmarkEnd w:id="55"/>
      <w:bookmarkEnd w:id="154"/>
      <w:r>
        <w:rPr>
          <w:rFonts w:hAnsi="宋体" w:hint="eastAsia"/>
        </w:rPr>
        <w:t xml:space="preserve"> </w:t>
      </w:r>
    </w:p>
    <w:p w:rsidR="006E0410" w:rsidRDefault="006E0410" w:rsidP="00BA0DF6">
      <w:pPr>
        <w:pStyle w:val="XBRLTitle3"/>
        <w:spacing w:before="156"/>
        <w:divId w:val="1754161005"/>
        <w:rPr>
          <w:rFonts w:hint="eastAsia"/>
        </w:rPr>
      </w:pPr>
      <w:bookmarkStart w:id="155" w:name="_Toc51346565911"/>
      <w:r>
        <w:rPr>
          <w:rFonts w:hint="eastAsia"/>
        </w:rPr>
        <w:t>直销机构</w:t>
      </w:r>
      <w:bookmarkEnd w:id="58"/>
      <w:bookmarkEnd w:id="59"/>
      <w:bookmarkEnd w:id="60"/>
      <w:bookmarkEnd w:id="155"/>
      <w:r>
        <w:rPr>
          <w:rFonts w:hint="eastAsia"/>
          <w:lang w:eastAsia="zh-CN"/>
        </w:rPr>
        <w:t xml:space="preserve"> </w:t>
      </w:r>
    </w:p>
    <w:p w:rsidR="006E0410" w:rsidRDefault="006E0410">
      <w:pPr>
        <w:spacing w:line="360" w:lineRule="auto"/>
        <w:ind w:firstLineChars="200" w:firstLine="420"/>
        <w:divId w:val="1754161005"/>
        <w:rPr>
          <w:rFonts w:hint="eastAsia"/>
        </w:rPr>
      </w:pPr>
      <w:r>
        <w:rPr>
          <w:rFonts w:hint="eastAsia"/>
          <w:lang/>
        </w:rPr>
        <w:t>（1）直销柜台</w:t>
      </w:r>
      <w:r>
        <w:rPr>
          <w:rFonts w:hint="eastAsia"/>
          <w:lang/>
        </w:rPr>
        <w:br/>
        <w:t xml:space="preserve">　　名称：太平基金管理有限公司</w:t>
      </w:r>
      <w:r>
        <w:rPr>
          <w:rFonts w:hint="eastAsia"/>
          <w:lang/>
        </w:rPr>
        <w:br/>
        <w:t xml:space="preserve">　　办公地址：上海市浦东新区银城中路488号太平金融大厦7楼、5楼503A</w:t>
      </w:r>
      <w:r>
        <w:rPr>
          <w:rFonts w:hint="eastAsia"/>
          <w:lang/>
        </w:rPr>
        <w:br/>
        <w:t xml:space="preserve">　　联系电话：021-38556789</w:t>
      </w:r>
      <w:r>
        <w:rPr>
          <w:rFonts w:hint="eastAsia"/>
          <w:lang/>
        </w:rPr>
        <w:br/>
        <w:t xml:space="preserve">　　传真：021-38556751</w:t>
      </w:r>
      <w:r>
        <w:rPr>
          <w:rFonts w:hint="eastAsia"/>
          <w:lang/>
        </w:rPr>
        <w:br/>
        <w:t xml:space="preserve">　　网址：www.taipingfund.com.cn</w:t>
      </w:r>
      <w:r>
        <w:rPr>
          <w:rFonts w:hint="eastAsia"/>
          <w:lang/>
        </w:rPr>
        <w:br/>
        <w:t xml:space="preserve">　　（2）网上交易</w:t>
      </w:r>
      <w:r>
        <w:rPr>
          <w:rFonts w:hint="eastAsia"/>
          <w:lang/>
        </w:rPr>
        <w:br/>
        <w:t xml:space="preserve">　　具体业务办理情况及业务规则请登录本公司网站查询。本公司网址www.taipingfund.com.cn。</w:t>
      </w:r>
      <w:r>
        <w:rPr>
          <w:rFonts w:hint="eastAsia"/>
          <w:lang/>
        </w:rPr>
        <w:br/>
        <w:t xml:space="preserve">　　注：投资人可通过本公司直销机构办理本基金的申购、赎回等业务。 </w:t>
      </w:r>
    </w:p>
    <w:p w:rsidR="006E0410" w:rsidRDefault="006E0410" w:rsidP="00BA0DF6">
      <w:pPr>
        <w:pStyle w:val="XBRLTitle3"/>
        <w:spacing w:before="156"/>
        <w:divId w:val="20279076"/>
        <w:rPr>
          <w:rFonts w:hint="eastAsia"/>
        </w:rPr>
      </w:pPr>
      <w:bookmarkStart w:id="156" w:name="_Toc51346566011"/>
      <w:r>
        <w:rPr>
          <w:rFonts w:hint="eastAsia"/>
        </w:rPr>
        <w:t>场外非直销机构</w:t>
      </w:r>
      <w:bookmarkEnd w:id="61"/>
      <w:bookmarkEnd w:id="62"/>
      <w:bookmarkEnd w:id="63"/>
      <w:bookmarkEnd w:id="156"/>
    </w:p>
    <w:p w:rsidR="006E0410" w:rsidRDefault="006E0410">
      <w:pPr>
        <w:spacing w:line="360" w:lineRule="auto"/>
        <w:ind w:firstLineChars="200" w:firstLine="420"/>
        <w:divId w:val="20279076"/>
        <w:rPr>
          <w:rFonts w:hint="eastAsia"/>
        </w:rPr>
      </w:pPr>
      <w:r>
        <w:rPr>
          <w:rFonts w:hint="eastAsia"/>
          <w:kern w:val="0"/>
          <w:szCs w:val="21"/>
          <w:lang/>
        </w:rPr>
        <w:t>中信建投证券股份有限公司、中国银河证券股份有限公司、国泰海通证券股份有限公司、中信证券股份有限公司、中信期货有限公司、中信证券（华南）股份有限公司、中信证券（山东）有限责任公司、华泰证券股份有限公司、国投证券股份有限公司、招商证券股份有限公司、江苏银行股份有限公司、山西证券股份有限公司、华创证券股份有限公司、宁波银行股份有限公司、江苏银行股份有限公司、国金证券股份有限公司、邮储银行“邮你同赢”平台、上海万得基金销售有限公司、上海爱建基金销售有限公司、上海天天基金销售有限公司、诺亚正行基金销售有限公司、北京雪球基金销售有限公司、珠海盈米基金销售有限公司、上海云湾基金销售有限公司、大连网金基金销售有限公司、上海攀赢基金销售有限公司、腾安基金销售（深圳）有限公司、上海中正达广基金销售有限公司、京东肯特瑞基金销售有限公司、上海长量基金销售有限公司、泰信财富基金销售有限公司、上海好买基金销售有限公司、深圳市新兰德证券投资咨询有限公司、上海基煜基金销售有限公司、上海挖财基金销售有限公司、财咨道信息技术有限公司、上海利得基金销售有限公司、北京汇成基金销售有限公司、上海联泰基金销售有限公司、上海证达通基金销售有限公司</w:t>
      </w:r>
      <w:r>
        <w:rPr>
          <w:rFonts w:hint="eastAsia"/>
          <w:kern w:val="0"/>
          <w:sz w:val="24"/>
        </w:rPr>
        <w:t xml:space="preserve"> </w:t>
      </w:r>
    </w:p>
    <w:p w:rsidR="006E0410" w:rsidRDefault="006E0410" w:rsidP="00BA0DF6">
      <w:pPr>
        <w:pStyle w:val="XBRLTitle2"/>
        <w:spacing w:before="156"/>
        <w:divId w:val="1835875251"/>
        <w:rPr>
          <w:rFonts w:hint="eastAsia"/>
        </w:rPr>
      </w:pPr>
      <w:bookmarkStart w:id="157" w:name="_Toc3475852411"/>
      <w:bookmarkStart w:id="158" w:name="_Toc34841044"/>
      <w:r>
        <w:rPr>
          <w:rFonts w:hint="eastAsia"/>
        </w:rPr>
        <w:t>场内销售机构</w:t>
      </w:r>
      <w:bookmarkEnd w:id="64"/>
      <w:bookmarkEnd w:id="65"/>
      <w:bookmarkEnd w:id="66"/>
      <w:bookmarkEnd w:id="67"/>
      <w:bookmarkEnd w:id="68"/>
      <w:bookmarkEnd w:id="69"/>
      <w:bookmarkEnd w:id="70"/>
      <w:bookmarkEnd w:id="71"/>
      <w:bookmarkEnd w:id="72"/>
      <w:bookmarkEnd w:id="73"/>
      <w:bookmarkEnd w:id="74"/>
      <w:bookmarkEnd w:id="75"/>
      <w:bookmarkEnd w:id="76"/>
      <w:bookmarkEnd w:id="157"/>
      <w:bookmarkEnd w:id="158"/>
    </w:p>
    <w:p w:rsidR="006E0410" w:rsidRDefault="006E0410">
      <w:pPr>
        <w:spacing w:line="360" w:lineRule="auto"/>
        <w:ind w:firstLineChars="200" w:firstLine="420"/>
        <w:divId w:val="1835875251"/>
        <w:rPr>
          <w:rFonts w:hint="eastAsia"/>
        </w:rPr>
      </w:pPr>
      <w:r>
        <w:rPr>
          <w:rFonts w:hint="eastAsia"/>
          <w:lang/>
        </w:rPr>
        <w:t>无。</w:t>
      </w:r>
    </w:p>
    <w:p w:rsidR="006E0410" w:rsidRDefault="006E0410" w:rsidP="00BA0DF6">
      <w:pPr>
        <w:pStyle w:val="XBRLTitle1"/>
        <w:spacing w:before="156" w:line="360" w:lineRule="auto"/>
        <w:divId w:val="558781931"/>
        <w:rPr>
          <w:rFonts w:hint="eastAsia"/>
        </w:rPr>
      </w:pPr>
      <w:bookmarkStart w:id="159" w:name="_Toc3475853211"/>
      <w:bookmarkStart w:id="160" w:name="_Toc34841045"/>
      <w:r>
        <w:rPr>
          <w:rFonts w:hAnsi="宋体" w:hint="eastAsia"/>
        </w:rPr>
        <w:t>基金份额净值公告/基金收益公告的披露安排</w:t>
      </w:r>
      <w:bookmarkEnd w:id="159"/>
      <w:bookmarkEnd w:id="160"/>
      <w:r>
        <w:rPr>
          <w:rFonts w:hAnsi="宋体" w:hint="eastAsia"/>
        </w:rPr>
        <w:t xml:space="preserve"> </w:t>
      </w:r>
    </w:p>
    <w:p w:rsidR="006E0410" w:rsidRDefault="006E0410">
      <w:pPr>
        <w:spacing w:line="360" w:lineRule="auto"/>
        <w:ind w:firstLineChars="200" w:firstLine="420"/>
        <w:divId w:val="558781931"/>
        <w:rPr>
          <w:rFonts w:hint="eastAsia"/>
        </w:rPr>
      </w:pPr>
      <w:r>
        <w:rPr>
          <w:rFonts w:hint="eastAsia"/>
          <w:lang/>
        </w:rPr>
        <w:t>《基金合同》生效后，在封闭期内，基金管理人应当至少每周在规定网站披露一次基金份额净值和基金份额累计净值。</w:t>
      </w:r>
      <w:r>
        <w:rPr>
          <w:rFonts w:hint="eastAsia"/>
          <w:lang/>
        </w:rPr>
        <w:br/>
        <w:t xml:space="preserve">　　在开放期内，基金管理人应当在不晚于每个开放日的次日，通过规定网站、基金销售机构网站或者营业网点披露开放日的基金份额净值和基金份额累计净值。</w:t>
      </w:r>
      <w:r>
        <w:rPr>
          <w:rFonts w:hint="eastAsia"/>
          <w:lang/>
        </w:rPr>
        <w:br/>
        <w:t xml:space="preserve">　　基金管理人应当在不晚于半年度和年度最后一日的次日，在规定网站披露半年度和年度最后一日的基金份额净值和基金份额累计净值。</w:t>
      </w:r>
    </w:p>
    <w:p w:rsidR="006E0410" w:rsidRDefault="006E0410" w:rsidP="00BA0DF6">
      <w:pPr>
        <w:pStyle w:val="XBRLTitle1"/>
        <w:spacing w:before="156" w:line="360" w:lineRule="auto"/>
        <w:divId w:val="716860868"/>
        <w:rPr>
          <w:rFonts w:hint="eastAsia"/>
        </w:rPr>
      </w:pPr>
      <w:bookmarkStart w:id="161" w:name="_Toc3475853212"/>
      <w:bookmarkStart w:id="162" w:name="_Toc34841046"/>
      <w:r>
        <w:rPr>
          <w:rFonts w:hAnsi="宋体" w:hint="eastAsia"/>
        </w:rPr>
        <w:t>其他需要提示的事项</w:t>
      </w:r>
      <w:bookmarkEnd w:id="16"/>
      <w:bookmarkEnd w:id="17"/>
      <w:bookmarkEnd w:id="18"/>
      <w:bookmarkEnd w:id="19"/>
      <w:bookmarkEnd w:id="20"/>
      <w:bookmarkEnd w:id="21"/>
      <w:bookmarkEnd w:id="22"/>
      <w:bookmarkEnd w:id="23"/>
      <w:bookmarkEnd w:id="39"/>
      <w:bookmarkEnd w:id="40"/>
      <w:bookmarkEnd w:id="161"/>
      <w:bookmarkEnd w:id="162"/>
      <w:r>
        <w:rPr>
          <w:rFonts w:hAnsi="宋体" w:hint="eastAsia"/>
        </w:rPr>
        <w:t xml:space="preserve"> </w:t>
      </w:r>
    </w:p>
    <w:bookmarkEnd w:id="11"/>
    <w:p w:rsidR="006E0410" w:rsidRDefault="006E0410">
      <w:pPr>
        <w:spacing w:line="360" w:lineRule="auto"/>
        <w:ind w:firstLineChars="200" w:firstLine="420"/>
        <w:divId w:val="716860868"/>
        <w:rPr>
          <w:rFonts w:hint="eastAsia"/>
        </w:rPr>
      </w:pPr>
      <w:r>
        <w:rPr>
          <w:rFonts w:hint="eastAsia"/>
          <w:lang/>
        </w:rPr>
        <w:t xml:space="preserve">（1）本公告仅对本基金开放日常申购、赎回、转换等业务的有关事项予以说明。投资人欲了解本基金的详细情况，请详细阅读《太平丰润一年定期开放债券型发起式证券投资基金基金合同》、《太平丰润一年定期开放债券型发起式证券投资基金招募说明书》及其更新、《太平丰润一年定期开放债券型发起式证券投资基金基金产品资料概要》及其更新等法律文件。 </w:t>
      </w:r>
      <w:r>
        <w:rPr>
          <w:rFonts w:hint="eastAsia"/>
          <w:lang/>
        </w:rPr>
        <w:br/>
        <w:t xml:space="preserve">　　（2）未开设销售网点地区的投资人，及希望了解本基金其它有关信息的投资人，敬请通过本基金管理人的客户服务电话（021-61560999或4000288699）或网站（www.taipingfund.com.cn）查询相关事宜。</w:t>
      </w:r>
      <w:r>
        <w:rPr>
          <w:rFonts w:hint="eastAsia"/>
          <w:lang/>
        </w:rPr>
        <w:br/>
        <w:t xml:space="preserve">　　（3）有关本基金开放申购、赎回、转换等业务的具体规定若有变化，本基金管理人届时将另行公告。</w:t>
      </w:r>
      <w:r>
        <w:rPr>
          <w:rFonts w:hint="eastAsia"/>
          <w:lang/>
        </w:rPr>
        <w:br/>
        <w:t xml:space="preserve">　　（4）本公告的解释权归太平基金管理有限公司所有。</w:t>
      </w:r>
      <w:r>
        <w:rPr>
          <w:rFonts w:hint="eastAsia"/>
          <w:lang/>
        </w:rPr>
        <w:br/>
        <w:t xml:space="preserve">　　（5）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rFonts w:hint="eastAsia"/>
          <w:lang/>
        </w:rPr>
        <w:br/>
        <w:t xml:space="preserve">　　特此公告。</w:t>
      </w:r>
      <w:bookmarkEnd w:id="12"/>
      <w:bookmarkEnd w:id="13"/>
      <w:bookmarkEnd w:id="24"/>
      <w:bookmarkEnd w:id="25"/>
      <w:bookmarkEnd w:id="26"/>
      <w:bookmarkEnd w:id="27"/>
      <w:r>
        <w:rPr>
          <w:rFonts w:hint="eastAsia"/>
          <w:lang/>
        </w:rPr>
        <w:t xml:space="preserve"> </w:t>
      </w:r>
    </w:p>
    <w:p w:rsidR="006E0410" w:rsidRDefault="006E0410">
      <w:pPr>
        <w:spacing w:line="360" w:lineRule="auto"/>
        <w:ind w:firstLineChars="600" w:firstLine="1446"/>
        <w:jc w:val="left"/>
        <w:rPr>
          <w:rFonts w:hint="eastAsia"/>
        </w:rPr>
      </w:pPr>
      <w:r>
        <w:rPr>
          <w:rFonts w:hint="eastAsia"/>
          <w:b/>
          <w:bCs/>
          <w:sz w:val="24"/>
          <w:szCs w:val="30"/>
        </w:rPr>
        <w:t xml:space="preserve">　 </w:t>
      </w:r>
    </w:p>
    <w:p w:rsidR="006E0410" w:rsidRDefault="006E0410">
      <w:pPr>
        <w:spacing w:line="360" w:lineRule="auto"/>
        <w:ind w:firstLineChars="600" w:firstLine="1446"/>
        <w:jc w:val="left"/>
        <w:rPr>
          <w:rFonts w:hint="eastAsia"/>
        </w:rPr>
      </w:pPr>
      <w:r>
        <w:rPr>
          <w:rFonts w:hint="eastAsia"/>
          <w:b/>
          <w:bCs/>
          <w:sz w:val="24"/>
          <w:szCs w:val="30"/>
        </w:rPr>
        <w:t xml:space="preserve">　 </w:t>
      </w:r>
    </w:p>
    <w:p w:rsidR="006E0410" w:rsidRDefault="006E0410">
      <w:pPr>
        <w:spacing w:line="360" w:lineRule="auto"/>
        <w:ind w:firstLineChars="600" w:firstLine="1446"/>
        <w:jc w:val="right"/>
        <w:rPr>
          <w:rFonts w:hint="eastAsia"/>
        </w:rPr>
      </w:pPr>
      <w:r>
        <w:rPr>
          <w:rFonts w:hint="eastAsia"/>
          <w:b/>
          <w:bCs/>
          <w:sz w:val="24"/>
          <w:szCs w:val="24"/>
        </w:rPr>
        <w:t>太平基金管理有限公司</w:t>
      </w:r>
    </w:p>
    <w:p w:rsidR="006E0410" w:rsidRDefault="006E0410">
      <w:pPr>
        <w:spacing w:line="360" w:lineRule="auto"/>
        <w:ind w:firstLineChars="600" w:firstLine="1446"/>
        <w:jc w:val="right"/>
        <w:rPr>
          <w:rFonts w:hint="eastAsia"/>
        </w:rPr>
      </w:pPr>
      <w:r>
        <w:rPr>
          <w:rFonts w:hint="eastAsia"/>
          <w:b/>
          <w:bCs/>
          <w:sz w:val="24"/>
          <w:szCs w:val="24"/>
        </w:rPr>
        <w:t>2025年12月19日</w:t>
      </w:r>
      <w:bookmarkEnd w:id="28"/>
      <w:r>
        <w:rPr>
          <w:rFonts w:hint="eastAsia"/>
          <w:b/>
          <w:bCs/>
          <w:sz w:val="24"/>
          <w:szCs w:val="24"/>
        </w:rPr>
        <w:t xml:space="preserve"> </w:t>
      </w:r>
    </w:p>
    <w:sectPr w:rsidR="006E0410">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864" w:rsidRDefault="00D60864">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D60864" w:rsidRDefault="00D60864">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410" w:rsidRDefault="006E041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513F31">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513F31">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410" w:rsidRDefault="006E0410">
    <w:pPr>
      <w:pStyle w:val="a8"/>
      <w:rPr>
        <w:rFonts w:hint="eastAsia"/>
      </w:rPr>
    </w:pPr>
  </w:p>
  <w:p w:rsidR="006E0410" w:rsidRDefault="006E041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513F31">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513F31">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6E0410" w:rsidRDefault="006E0410">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864" w:rsidRDefault="00D60864">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D60864" w:rsidRDefault="00D60864">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410" w:rsidRDefault="006E0410">
    <w:pPr>
      <w:pStyle w:val="a7"/>
      <w:jc w:val="right"/>
    </w:pPr>
    <w:r>
      <w:rPr>
        <w:rFonts w:hint="eastAsia"/>
      </w:rPr>
      <w:t>太平丰润一年定期开放债券型发起式证券投资基金开放日常申购、赎回、转换等业务公告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410" w:rsidRDefault="006E0410">
    <w:pPr>
      <w:pStyle w:val="a7"/>
      <w:jc w:val="right"/>
      <w:rPr>
        <w:rFonts w:hint="eastAsia"/>
      </w:rPr>
    </w:pPr>
    <w:r>
      <w:rPr>
        <w:rFonts w:hint="eastAsia"/>
      </w:rPr>
      <w:t>太平丰润一年定期开放债券型发起式证券投资基金开放日常申购、赎回、转换等业务公告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0DF6"/>
    <w:rsid w:val="00282501"/>
    <w:rsid w:val="00513F31"/>
    <w:rsid w:val="006E0410"/>
    <w:rsid w:val="00BA0DF6"/>
    <w:rsid w:val="00D60864"/>
    <w:rsid w:val="00FB50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pPr>
      <w:ind w:leftChars="200" w:left="420"/>
    </w:pPr>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left"/>
    </w:pPr>
    <w:rPr>
      <w:rFonts w:hAnsi="Cambria"/>
      <w:sz w:val="24"/>
      <w:szCs w:val="32"/>
    </w:rPr>
  </w:style>
  <w:style w:type="paragraph" w:customStyle="1" w:styleId="XBRLTitle2">
    <w:name w:val="XBRLTitle2"/>
    <w:basedOn w:val="aa"/>
    <w:next w:val="4"/>
    <w:qFormat/>
    <w:pPr>
      <w:keepNext w:val="0"/>
      <w:keepLines w:val="0"/>
      <w:numPr>
        <w:ilvl w:val="1"/>
        <w:numId w:val="2"/>
      </w:numPr>
      <w:spacing w:beforeLines="50" w:after="0" w:line="240" w:lineRule="auto"/>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368798820">
      <w:marLeft w:val="0"/>
      <w:marRight w:val="0"/>
      <w:marTop w:val="0"/>
      <w:marBottom w:val="0"/>
      <w:divBdr>
        <w:top w:val="none" w:sz="0" w:space="0" w:color="auto"/>
        <w:left w:val="none" w:sz="0" w:space="0" w:color="auto"/>
        <w:bottom w:val="none" w:sz="0" w:space="0" w:color="auto"/>
        <w:right w:val="none" w:sz="0" w:space="0" w:color="auto"/>
      </w:divBdr>
      <w:divsChild>
        <w:div w:id="178203132">
          <w:marLeft w:val="0"/>
          <w:marRight w:val="0"/>
          <w:marTop w:val="0"/>
          <w:marBottom w:val="0"/>
          <w:divBdr>
            <w:top w:val="none" w:sz="0" w:space="0" w:color="auto"/>
            <w:left w:val="none" w:sz="0" w:space="0" w:color="auto"/>
            <w:bottom w:val="none" w:sz="0" w:space="0" w:color="auto"/>
            <w:right w:val="none" w:sz="0" w:space="0" w:color="auto"/>
          </w:divBdr>
        </w:div>
        <w:div w:id="1214149737">
          <w:marLeft w:val="0"/>
          <w:marRight w:val="0"/>
          <w:marTop w:val="0"/>
          <w:marBottom w:val="0"/>
          <w:divBdr>
            <w:top w:val="none" w:sz="0" w:space="0" w:color="auto"/>
            <w:left w:val="none" w:sz="0" w:space="0" w:color="auto"/>
            <w:bottom w:val="none" w:sz="0" w:space="0" w:color="auto"/>
            <w:right w:val="none" w:sz="0" w:space="0" w:color="auto"/>
          </w:divBdr>
        </w:div>
        <w:div w:id="1874418227">
          <w:marLeft w:val="0"/>
          <w:marRight w:val="0"/>
          <w:marTop w:val="0"/>
          <w:marBottom w:val="0"/>
          <w:divBdr>
            <w:top w:val="none" w:sz="0" w:space="0" w:color="auto"/>
            <w:left w:val="none" w:sz="0" w:space="0" w:color="auto"/>
            <w:bottom w:val="none" w:sz="0" w:space="0" w:color="auto"/>
            <w:right w:val="none" w:sz="0" w:space="0" w:color="auto"/>
          </w:divBdr>
        </w:div>
      </w:divsChild>
    </w:div>
    <w:div w:id="515927004">
      <w:marLeft w:val="0"/>
      <w:marRight w:val="0"/>
      <w:marTop w:val="0"/>
      <w:marBottom w:val="0"/>
      <w:divBdr>
        <w:top w:val="none" w:sz="0" w:space="0" w:color="auto"/>
        <w:left w:val="none" w:sz="0" w:space="0" w:color="auto"/>
        <w:bottom w:val="none" w:sz="0" w:space="0" w:color="auto"/>
        <w:right w:val="none" w:sz="0" w:space="0" w:color="auto"/>
      </w:divBdr>
    </w:div>
    <w:div w:id="558781931">
      <w:marLeft w:val="0"/>
      <w:marRight w:val="0"/>
      <w:marTop w:val="0"/>
      <w:marBottom w:val="0"/>
      <w:divBdr>
        <w:top w:val="none" w:sz="0" w:space="0" w:color="auto"/>
        <w:left w:val="none" w:sz="0" w:space="0" w:color="auto"/>
        <w:bottom w:val="none" w:sz="0" w:space="0" w:color="auto"/>
        <w:right w:val="none" w:sz="0" w:space="0" w:color="auto"/>
      </w:divBdr>
    </w:div>
    <w:div w:id="716860868">
      <w:marLeft w:val="0"/>
      <w:marRight w:val="0"/>
      <w:marTop w:val="0"/>
      <w:marBottom w:val="0"/>
      <w:divBdr>
        <w:top w:val="none" w:sz="0" w:space="0" w:color="auto"/>
        <w:left w:val="none" w:sz="0" w:space="0" w:color="auto"/>
        <w:bottom w:val="none" w:sz="0" w:space="0" w:color="auto"/>
        <w:right w:val="none" w:sz="0" w:space="0" w:color="auto"/>
      </w:divBdr>
    </w:div>
    <w:div w:id="1467160894">
      <w:marLeft w:val="0"/>
      <w:marRight w:val="0"/>
      <w:marTop w:val="0"/>
      <w:marBottom w:val="0"/>
      <w:divBdr>
        <w:top w:val="none" w:sz="0" w:space="0" w:color="auto"/>
        <w:left w:val="none" w:sz="0" w:space="0" w:color="auto"/>
        <w:bottom w:val="none" w:sz="0" w:space="0" w:color="auto"/>
        <w:right w:val="none" w:sz="0" w:space="0" w:color="auto"/>
      </w:divBdr>
      <w:divsChild>
        <w:div w:id="363095170">
          <w:marLeft w:val="0"/>
          <w:marRight w:val="0"/>
          <w:marTop w:val="0"/>
          <w:marBottom w:val="0"/>
          <w:divBdr>
            <w:top w:val="none" w:sz="0" w:space="0" w:color="auto"/>
            <w:left w:val="none" w:sz="0" w:space="0" w:color="auto"/>
            <w:bottom w:val="none" w:sz="0" w:space="0" w:color="auto"/>
            <w:right w:val="none" w:sz="0" w:space="0" w:color="auto"/>
          </w:divBdr>
        </w:div>
        <w:div w:id="1464079138">
          <w:marLeft w:val="0"/>
          <w:marRight w:val="0"/>
          <w:marTop w:val="0"/>
          <w:marBottom w:val="0"/>
          <w:divBdr>
            <w:top w:val="none" w:sz="0" w:space="0" w:color="auto"/>
            <w:left w:val="none" w:sz="0" w:space="0" w:color="auto"/>
            <w:bottom w:val="none" w:sz="0" w:space="0" w:color="auto"/>
            <w:right w:val="none" w:sz="0" w:space="0" w:color="auto"/>
          </w:divBdr>
        </w:div>
        <w:div w:id="1806659884">
          <w:marLeft w:val="0"/>
          <w:marRight w:val="0"/>
          <w:marTop w:val="0"/>
          <w:marBottom w:val="0"/>
          <w:divBdr>
            <w:top w:val="none" w:sz="0" w:space="0" w:color="auto"/>
            <w:left w:val="none" w:sz="0" w:space="0" w:color="auto"/>
            <w:bottom w:val="none" w:sz="0" w:space="0" w:color="auto"/>
            <w:right w:val="none" w:sz="0" w:space="0" w:color="auto"/>
          </w:divBdr>
        </w:div>
      </w:divsChild>
    </w:div>
    <w:div w:id="1545822636">
      <w:marLeft w:val="0"/>
      <w:marRight w:val="0"/>
      <w:marTop w:val="0"/>
      <w:marBottom w:val="0"/>
      <w:divBdr>
        <w:top w:val="none" w:sz="0" w:space="0" w:color="auto"/>
        <w:left w:val="none" w:sz="0" w:space="0" w:color="auto"/>
        <w:bottom w:val="none" w:sz="0" w:space="0" w:color="auto"/>
        <w:right w:val="none" w:sz="0" w:space="0" w:color="auto"/>
      </w:divBdr>
      <w:divsChild>
        <w:div w:id="1584801831">
          <w:marLeft w:val="0"/>
          <w:marRight w:val="0"/>
          <w:marTop w:val="0"/>
          <w:marBottom w:val="0"/>
          <w:divBdr>
            <w:top w:val="none" w:sz="0" w:space="0" w:color="auto"/>
            <w:left w:val="none" w:sz="0" w:space="0" w:color="auto"/>
            <w:bottom w:val="none" w:sz="0" w:space="0" w:color="auto"/>
            <w:right w:val="none" w:sz="0" w:space="0" w:color="auto"/>
          </w:divBdr>
          <w:divsChild>
            <w:div w:id="20279076">
              <w:marLeft w:val="0"/>
              <w:marRight w:val="0"/>
              <w:marTop w:val="0"/>
              <w:marBottom w:val="0"/>
              <w:divBdr>
                <w:top w:val="none" w:sz="0" w:space="0" w:color="auto"/>
                <w:left w:val="none" w:sz="0" w:space="0" w:color="auto"/>
                <w:bottom w:val="none" w:sz="0" w:space="0" w:color="auto"/>
                <w:right w:val="none" w:sz="0" w:space="0" w:color="auto"/>
              </w:divBdr>
            </w:div>
            <w:div w:id="1754161005">
              <w:marLeft w:val="0"/>
              <w:marRight w:val="0"/>
              <w:marTop w:val="0"/>
              <w:marBottom w:val="0"/>
              <w:divBdr>
                <w:top w:val="none" w:sz="0" w:space="0" w:color="auto"/>
                <w:left w:val="none" w:sz="0" w:space="0" w:color="auto"/>
                <w:bottom w:val="none" w:sz="0" w:space="0" w:color="auto"/>
                <w:right w:val="none" w:sz="0" w:space="0" w:color="auto"/>
              </w:divBdr>
            </w:div>
          </w:divsChild>
        </w:div>
        <w:div w:id="1835875251">
          <w:marLeft w:val="0"/>
          <w:marRight w:val="0"/>
          <w:marTop w:val="0"/>
          <w:marBottom w:val="0"/>
          <w:divBdr>
            <w:top w:val="none" w:sz="0" w:space="0" w:color="auto"/>
            <w:left w:val="none" w:sz="0" w:space="0" w:color="auto"/>
            <w:bottom w:val="none" w:sz="0" w:space="0" w:color="auto"/>
            <w:right w:val="none" w:sz="0" w:space="0" w:color="auto"/>
          </w:divBdr>
        </w:div>
      </w:divsChild>
    </w:div>
    <w:div w:id="1654065252">
      <w:marLeft w:val="0"/>
      <w:marRight w:val="0"/>
      <w:marTop w:val="0"/>
      <w:marBottom w:val="0"/>
      <w:divBdr>
        <w:top w:val="none" w:sz="0" w:space="0" w:color="auto"/>
        <w:left w:val="none" w:sz="0" w:space="0" w:color="auto"/>
        <w:bottom w:val="none" w:sz="0" w:space="0" w:color="auto"/>
        <w:right w:val="none" w:sz="0" w:space="0" w:color="auto"/>
      </w:divBdr>
    </w:div>
    <w:div w:id="1751198312">
      <w:marLeft w:val="0"/>
      <w:marRight w:val="0"/>
      <w:marTop w:val="0"/>
      <w:marBottom w:val="0"/>
      <w:divBdr>
        <w:top w:val="none" w:sz="0" w:space="0" w:color="auto"/>
        <w:left w:val="none" w:sz="0" w:space="0" w:color="auto"/>
        <w:bottom w:val="none" w:sz="0" w:space="0" w:color="auto"/>
        <w:right w:val="none" w:sz="0" w:space="0" w:color="auto"/>
      </w:divBdr>
      <w:divsChild>
        <w:div w:id="87191212">
          <w:marLeft w:val="0"/>
          <w:marRight w:val="0"/>
          <w:marTop w:val="0"/>
          <w:marBottom w:val="0"/>
          <w:divBdr>
            <w:top w:val="none" w:sz="0" w:space="0" w:color="auto"/>
            <w:left w:val="none" w:sz="0" w:space="0" w:color="auto"/>
            <w:bottom w:val="none" w:sz="0" w:space="0" w:color="auto"/>
            <w:right w:val="none" w:sz="0" w:space="0" w:color="auto"/>
          </w:divBdr>
        </w:div>
        <w:div w:id="2039623436">
          <w:marLeft w:val="0"/>
          <w:marRight w:val="0"/>
          <w:marTop w:val="0"/>
          <w:marBottom w:val="0"/>
          <w:divBdr>
            <w:top w:val="none" w:sz="0" w:space="0" w:color="auto"/>
            <w:left w:val="none" w:sz="0" w:space="0" w:color="auto"/>
            <w:bottom w:val="none" w:sz="0" w:space="0" w:color="auto"/>
            <w:right w:val="none" w:sz="0" w:space="0" w:color="auto"/>
          </w:divBdr>
        </w:div>
      </w:divsChild>
    </w:div>
    <w:div w:id="212488656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44506-A155-4C56-9E31-3243948F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6528</Characters>
  <Application>Microsoft Office Word</Application>
  <DocSecurity>4</DocSecurity>
  <Lines>54</Lines>
  <Paragraphs>15</Paragraphs>
  <ScaleCrop>false</ScaleCrop>
  <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cp:lastPrinted>2025-12-12T01:41:00Z</cp:lastPrinted>
  <dcterms:created xsi:type="dcterms:W3CDTF">2025-12-18T16:00:00Z</dcterms:created>
  <dcterms:modified xsi:type="dcterms:W3CDTF">2025-12-18T16:00:00Z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