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028" w:rsidRDefault="00407028">
      <w:pPr>
        <w:spacing w:line="360" w:lineRule="auto"/>
        <w:jc w:val="center"/>
        <w:rPr>
          <w:rFonts w:hint="eastAsia"/>
          <w:b/>
          <w:sz w:val="24"/>
        </w:rPr>
      </w:pPr>
      <w:r>
        <w:rPr>
          <w:rFonts w:hint="eastAsia"/>
          <w:b/>
          <w:sz w:val="24"/>
        </w:rPr>
        <w:t>国联安基金管理有限公司关于旗下部分基金增加邮储银行“邮你同赢”同业平台为销售机构的公告</w:t>
      </w:r>
    </w:p>
    <w:p w:rsidR="00407028" w:rsidRDefault="00407028">
      <w:pPr>
        <w:jc w:val="center"/>
        <w:rPr>
          <w:rFonts w:hint="eastAsia"/>
          <w:b/>
          <w:sz w:val="24"/>
        </w:rPr>
      </w:pPr>
    </w:p>
    <w:p w:rsidR="00407028" w:rsidRDefault="00407028">
      <w:pPr>
        <w:spacing w:line="360" w:lineRule="auto"/>
        <w:ind w:firstLineChars="200" w:firstLine="420"/>
        <w:rPr>
          <w:rFonts w:ascii="Arial" w:hAnsi="Arial" w:cs="Arial" w:hint="eastAsia"/>
          <w:szCs w:val="21"/>
        </w:rPr>
      </w:pPr>
      <w:r>
        <w:rPr>
          <w:rFonts w:ascii="Arial" w:cs="Arial"/>
          <w:szCs w:val="21"/>
        </w:rPr>
        <w:t>根据国联安基金管理有限公司（以下简称</w:t>
      </w:r>
      <w:r>
        <w:rPr>
          <w:rFonts w:ascii="Arial" w:hAnsi="Arial" w:cs="Arial" w:hint="eastAsia"/>
          <w:szCs w:val="21"/>
        </w:rPr>
        <w:t>“</w:t>
      </w:r>
      <w:r>
        <w:rPr>
          <w:rFonts w:ascii="Arial" w:cs="Arial"/>
          <w:szCs w:val="21"/>
        </w:rPr>
        <w:t>本公司</w:t>
      </w:r>
      <w:r>
        <w:rPr>
          <w:rFonts w:ascii="Arial" w:hAnsi="Arial" w:cs="Arial" w:hint="eastAsia"/>
          <w:szCs w:val="21"/>
        </w:rPr>
        <w:t>”</w:t>
      </w:r>
      <w:r>
        <w:rPr>
          <w:rFonts w:ascii="Arial" w:cs="Arial"/>
          <w:szCs w:val="21"/>
        </w:rPr>
        <w:t>）与</w:t>
      </w:r>
      <w:r>
        <w:rPr>
          <w:rFonts w:ascii="Arial" w:cs="Arial" w:hint="eastAsia"/>
          <w:szCs w:val="21"/>
        </w:rPr>
        <w:t>中国邮政储蓄银行股份有限公司</w:t>
      </w:r>
      <w:r>
        <w:rPr>
          <w:rFonts w:ascii="Arial" w:cs="Arial"/>
          <w:szCs w:val="21"/>
        </w:rPr>
        <w:t>（以下简称</w:t>
      </w:r>
      <w:r>
        <w:rPr>
          <w:rFonts w:ascii="Arial" w:hAnsi="Arial" w:cs="Arial" w:hint="eastAsia"/>
          <w:szCs w:val="21"/>
        </w:rPr>
        <w:t>“邮储银行”</w:t>
      </w:r>
      <w:r>
        <w:rPr>
          <w:rFonts w:ascii="Arial" w:cs="Arial"/>
          <w:szCs w:val="21"/>
        </w:rPr>
        <w:t>）签署的国联安基金管理有限公司开放式证券投资基金销售服务代理协议，自</w:t>
      </w:r>
      <w:r>
        <w:rPr>
          <w:rFonts w:ascii="Arial" w:hAnsi="Arial" w:cs="Arial"/>
          <w:szCs w:val="21"/>
        </w:rPr>
        <w:t>20</w:t>
      </w:r>
      <w:r>
        <w:rPr>
          <w:rFonts w:ascii="Arial" w:hAnsi="Arial" w:cs="Arial" w:hint="eastAsia"/>
          <w:szCs w:val="21"/>
        </w:rPr>
        <w:t>2</w:t>
      </w:r>
      <w:r>
        <w:rPr>
          <w:rFonts w:ascii="Arial" w:hAnsi="Arial" w:cs="Arial"/>
          <w:szCs w:val="21"/>
        </w:rPr>
        <w:t>5</w:t>
      </w:r>
      <w:r>
        <w:rPr>
          <w:rFonts w:ascii="Arial" w:cs="Arial"/>
          <w:szCs w:val="21"/>
        </w:rPr>
        <w:t>年</w:t>
      </w:r>
      <w:r>
        <w:rPr>
          <w:rFonts w:ascii="Arial" w:cs="Arial"/>
          <w:szCs w:val="21"/>
        </w:rPr>
        <w:t>12</w:t>
      </w:r>
      <w:r>
        <w:rPr>
          <w:rFonts w:ascii="Arial" w:cs="Arial"/>
          <w:szCs w:val="21"/>
        </w:rPr>
        <w:t>月</w:t>
      </w:r>
      <w:r>
        <w:rPr>
          <w:rFonts w:ascii="Arial" w:cs="Arial"/>
          <w:szCs w:val="21"/>
        </w:rPr>
        <w:t>18</w:t>
      </w:r>
      <w:r>
        <w:rPr>
          <w:rFonts w:ascii="Arial" w:cs="Arial"/>
          <w:szCs w:val="21"/>
        </w:rPr>
        <w:t>日起，</w:t>
      </w:r>
      <w:r>
        <w:rPr>
          <w:rFonts w:ascii="Arial" w:hAnsi="Arial" w:cs="Arial" w:hint="eastAsia"/>
          <w:szCs w:val="21"/>
        </w:rPr>
        <w:t>本公司旗下</w:t>
      </w:r>
      <w:bookmarkStart w:id="0" w:name="OLE_LINK1"/>
      <w:r>
        <w:rPr>
          <w:rFonts w:ascii="Arial" w:hAnsi="Arial" w:cs="Arial" w:hint="eastAsia"/>
          <w:szCs w:val="21"/>
        </w:rPr>
        <w:t>部分基金</w:t>
      </w:r>
      <w:bookmarkEnd w:id="0"/>
      <w:r>
        <w:rPr>
          <w:rFonts w:ascii="Arial" w:hAnsi="Arial" w:cs="Arial" w:hint="eastAsia"/>
          <w:szCs w:val="21"/>
        </w:rPr>
        <w:t>增加邮储银行</w:t>
      </w:r>
      <w:r>
        <w:rPr>
          <w:rFonts w:ascii="Arial" w:cs="Arial"/>
          <w:szCs w:val="21"/>
        </w:rPr>
        <w:t>“</w:t>
      </w:r>
      <w:r>
        <w:rPr>
          <w:rFonts w:ascii="Arial" w:cs="Arial"/>
          <w:szCs w:val="21"/>
        </w:rPr>
        <w:t>邮你同赢</w:t>
      </w:r>
      <w:r>
        <w:rPr>
          <w:rFonts w:ascii="Arial" w:cs="Arial"/>
          <w:szCs w:val="21"/>
        </w:rPr>
        <w:t>”</w:t>
      </w:r>
      <w:r>
        <w:rPr>
          <w:rFonts w:ascii="Arial" w:cs="Arial"/>
          <w:szCs w:val="21"/>
        </w:rPr>
        <w:t>同业平台</w:t>
      </w:r>
      <w:r>
        <w:rPr>
          <w:rFonts w:ascii="Arial" w:hAnsi="Arial" w:cs="Arial" w:hint="eastAsia"/>
          <w:szCs w:val="21"/>
        </w:rPr>
        <w:t>为销售机构</w:t>
      </w:r>
      <w:r>
        <w:rPr>
          <w:rFonts w:ascii="Arial" w:cs="Arial"/>
          <w:szCs w:val="21"/>
        </w:rPr>
        <w:t>。</w:t>
      </w:r>
      <w:r>
        <w:rPr>
          <w:rFonts w:ascii="Arial" w:cs="Arial" w:hint="eastAsia"/>
          <w:szCs w:val="21"/>
        </w:rPr>
        <w:t>现就有关事项公告如下：</w:t>
      </w:r>
    </w:p>
    <w:p w:rsidR="00407028" w:rsidRDefault="00407028">
      <w:pPr>
        <w:spacing w:line="360" w:lineRule="auto"/>
        <w:ind w:firstLineChars="200" w:firstLine="420"/>
        <w:rPr>
          <w:rFonts w:ascii="Arial" w:hAnsi="Arial" w:cs="Arial"/>
          <w:szCs w:val="21"/>
        </w:rPr>
      </w:pPr>
      <w:r>
        <w:rPr>
          <w:rFonts w:ascii="Arial" w:cs="Arial"/>
          <w:szCs w:val="21"/>
        </w:rPr>
        <w:t>一、业务范围</w:t>
      </w:r>
    </w:p>
    <w:p w:rsidR="00407028" w:rsidRDefault="00407028">
      <w:pPr>
        <w:spacing w:line="360" w:lineRule="auto"/>
        <w:ind w:firstLineChars="200" w:firstLine="420"/>
        <w:rPr>
          <w:rFonts w:ascii="Arial" w:hAnsi="Arial" w:cs="Arial" w:hint="eastAsia"/>
          <w:szCs w:val="21"/>
        </w:rPr>
      </w:pPr>
      <w:r>
        <w:rPr>
          <w:rFonts w:ascii="Arial" w:cs="Arial"/>
          <w:szCs w:val="21"/>
        </w:rPr>
        <w:t>投资者可在邮储银行</w:t>
      </w:r>
      <w:bookmarkStart w:id="1" w:name="OLE_LINK5"/>
      <w:r>
        <w:rPr>
          <w:rFonts w:ascii="Arial" w:cs="Arial"/>
          <w:szCs w:val="21"/>
        </w:rPr>
        <w:t>“</w:t>
      </w:r>
      <w:r>
        <w:rPr>
          <w:rFonts w:ascii="Arial" w:cs="Arial"/>
          <w:szCs w:val="21"/>
        </w:rPr>
        <w:t>邮你同赢</w:t>
      </w:r>
      <w:r>
        <w:rPr>
          <w:rFonts w:ascii="Arial" w:cs="Arial"/>
          <w:szCs w:val="21"/>
        </w:rPr>
        <w:t>”</w:t>
      </w:r>
      <w:r>
        <w:rPr>
          <w:rFonts w:ascii="Arial" w:cs="Arial"/>
          <w:szCs w:val="21"/>
        </w:rPr>
        <w:t>同业平台</w:t>
      </w:r>
      <w:bookmarkEnd w:id="1"/>
      <w:r>
        <w:rPr>
          <w:rFonts w:ascii="Arial" w:cs="Arial"/>
          <w:szCs w:val="21"/>
        </w:rPr>
        <w:t>办理下述基金的申购、赎回</w:t>
      </w:r>
      <w:r>
        <w:rPr>
          <w:rFonts w:ascii="Arial" w:cs="Arial" w:hint="eastAsia"/>
          <w:szCs w:val="21"/>
        </w:rPr>
        <w:t>及转换</w:t>
      </w:r>
      <w:r>
        <w:rPr>
          <w:rFonts w:ascii="Arial" w:cs="Arial"/>
          <w:szCs w:val="21"/>
        </w:rPr>
        <w:t>等相关业务：</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国联安添利增长债券型证券投资基金（基金简称：国联安添利增长债券；</w:t>
      </w:r>
      <w:bookmarkStart w:id="2" w:name="_Hlk216775428"/>
      <w:r>
        <w:rPr>
          <w:rFonts w:ascii="Arial" w:hAnsi="Arial" w:cs="Arial" w:hint="eastAsia"/>
          <w:szCs w:val="21"/>
        </w:rPr>
        <w:t>基金代码：</w:t>
      </w:r>
      <w:bookmarkEnd w:id="2"/>
      <w:r>
        <w:rPr>
          <w:rFonts w:ascii="Arial" w:hAnsi="Arial" w:cs="Arial" w:hint="eastAsia"/>
          <w:szCs w:val="21"/>
        </w:rPr>
        <w:t>A</w:t>
      </w:r>
      <w:r>
        <w:rPr>
          <w:rFonts w:ascii="Arial" w:hAnsi="Arial" w:cs="Arial" w:hint="eastAsia"/>
          <w:szCs w:val="21"/>
        </w:rPr>
        <w:t>类</w:t>
      </w:r>
      <w:r>
        <w:rPr>
          <w:rFonts w:ascii="Arial" w:hAnsi="Arial" w:cs="Arial"/>
          <w:szCs w:val="21"/>
        </w:rPr>
        <w:t>003275</w:t>
      </w:r>
      <w:r>
        <w:rPr>
          <w:rFonts w:ascii="Arial" w:hAnsi="Arial" w:cs="Arial" w:hint="eastAsia"/>
          <w:szCs w:val="21"/>
        </w:rPr>
        <w:t>、</w:t>
      </w:r>
      <w:r>
        <w:rPr>
          <w:rFonts w:ascii="Arial" w:hAnsi="Arial" w:cs="Arial"/>
          <w:szCs w:val="21"/>
        </w:rPr>
        <w:t>C</w:t>
      </w:r>
      <w:r>
        <w:rPr>
          <w:rFonts w:ascii="Arial" w:hAnsi="Arial" w:cs="Arial" w:hint="eastAsia"/>
          <w:szCs w:val="21"/>
        </w:rPr>
        <w:t>类</w:t>
      </w:r>
      <w:r>
        <w:rPr>
          <w:rFonts w:ascii="Arial" w:hAnsi="Arial" w:cs="Arial"/>
          <w:szCs w:val="21"/>
        </w:rPr>
        <w:t>003276</w:t>
      </w:r>
      <w:r>
        <w:rPr>
          <w:rFonts w:ascii="Arial" w:hAnsi="Arial" w:cs="Arial" w:hint="eastAsia"/>
          <w:szCs w:val="21"/>
        </w:rPr>
        <w:t>）</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国联安添益增长债券型证券投资基金（基金简称：国联安添益增长债券；基金代码：</w:t>
      </w:r>
      <w:r>
        <w:rPr>
          <w:rFonts w:ascii="Arial" w:hAnsi="Arial" w:cs="Arial" w:hint="eastAsia"/>
          <w:szCs w:val="21"/>
        </w:rPr>
        <w:t>A</w:t>
      </w:r>
      <w:r>
        <w:rPr>
          <w:rFonts w:ascii="Arial" w:hAnsi="Arial" w:cs="Arial" w:hint="eastAsia"/>
          <w:szCs w:val="21"/>
        </w:rPr>
        <w:t>类</w:t>
      </w:r>
      <w:r>
        <w:rPr>
          <w:rFonts w:ascii="Arial" w:hAnsi="Arial" w:cs="Arial"/>
          <w:szCs w:val="21"/>
        </w:rPr>
        <w:t>014955</w:t>
      </w:r>
      <w:r>
        <w:rPr>
          <w:rFonts w:ascii="Arial" w:hAnsi="Arial" w:cs="Arial" w:hint="eastAsia"/>
          <w:szCs w:val="21"/>
        </w:rPr>
        <w:t>、</w:t>
      </w:r>
      <w:r>
        <w:rPr>
          <w:rFonts w:ascii="Arial" w:hAnsi="Arial" w:cs="Arial"/>
          <w:szCs w:val="21"/>
        </w:rPr>
        <w:t>C</w:t>
      </w:r>
      <w:r>
        <w:rPr>
          <w:rFonts w:ascii="Arial" w:hAnsi="Arial" w:cs="Arial" w:hint="eastAsia"/>
          <w:szCs w:val="21"/>
        </w:rPr>
        <w:t>类</w:t>
      </w:r>
      <w:r>
        <w:rPr>
          <w:rFonts w:ascii="Arial" w:hAnsi="Arial" w:cs="Arial" w:hint="eastAsia"/>
          <w:szCs w:val="21"/>
        </w:rPr>
        <w:t>0</w:t>
      </w:r>
      <w:r>
        <w:rPr>
          <w:rFonts w:ascii="Arial" w:hAnsi="Arial" w:cs="Arial"/>
          <w:szCs w:val="21"/>
        </w:rPr>
        <w:t>14956</w:t>
      </w:r>
      <w:r>
        <w:rPr>
          <w:rFonts w:ascii="Arial" w:hAnsi="Arial" w:cs="Arial" w:hint="eastAsia"/>
          <w:szCs w:val="21"/>
        </w:rPr>
        <w:t>）</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国联安中证同业存单</w:t>
      </w:r>
      <w:r>
        <w:rPr>
          <w:rFonts w:ascii="Arial" w:hAnsi="Arial" w:cs="Arial" w:hint="eastAsia"/>
          <w:szCs w:val="21"/>
        </w:rPr>
        <w:t>AAA</w:t>
      </w:r>
      <w:r>
        <w:rPr>
          <w:rFonts w:ascii="Arial" w:hAnsi="Arial" w:cs="Arial" w:hint="eastAsia"/>
          <w:szCs w:val="21"/>
        </w:rPr>
        <w:t>指数</w:t>
      </w:r>
      <w:r>
        <w:rPr>
          <w:rFonts w:ascii="Arial" w:hAnsi="Arial" w:cs="Arial" w:hint="eastAsia"/>
          <w:szCs w:val="21"/>
        </w:rPr>
        <w:t>7</w:t>
      </w:r>
      <w:r>
        <w:rPr>
          <w:rFonts w:ascii="Arial" w:hAnsi="Arial" w:cs="Arial" w:hint="eastAsia"/>
          <w:szCs w:val="21"/>
        </w:rPr>
        <w:t>天持有期证券投资基金（基金简称：国联安中证同业存单</w:t>
      </w:r>
      <w:r>
        <w:rPr>
          <w:rFonts w:ascii="Arial" w:hAnsi="Arial" w:cs="Arial" w:hint="eastAsia"/>
          <w:szCs w:val="21"/>
        </w:rPr>
        <w:t>AAA</w:t>
      </w:r>
      <w:r>
        <w:rPr>
          <w:rFonts w:ascii="Arial" w:hAnsi="Arial" w:cs="Arial" w:hint="eastAsia"/>
          <w:szCs w:val="21"/>
        </w:rPr>
        <w:t>指数</w:t>
      </w:r>
      <w:r>
        <w:rPr>
          <w:rFonts w:ascii="Arial" w:hAnsi="Arial" w:cs="Arial" w:hint="eastAsia"/>
          <w:szCs w:val="21"/>
        </w:rPr>
        <w:t>7</w:t>
      </w:r>
      <w:r>
        <w:rPr>
          <w:rFonts w:ascii="Arial" w:hAnsi="Arial" w:cs="Arial" w:hint="eastAsia"/>
          <w:szCs w:val="21"/>
        </w:rPr>
        <w:t>天持有期；基金代码：</w:t>
      </w:r>
      <w:r>
        <w:rPr>
          <w:rFonts w:ascii="Arial" w:hAnsi="Arial" w:cs="Arial"/>
          <w:szCs w:val="21"/>
        </w:rPr>
        <w:t>015956</w:t>
      </w:r>
      <w:r>
        <w:rPr>
          <w:rFonts w:ascii="Arial" w:hAnsi="Arial" w:cs="Arial" w:hint="eastAsia"/>
          <w:szCs w:val="21"/>
        </w:rPr>
        <w:t>）</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国联安新精选灵活配置混合型证券投资基金（基金简称：</w:t>
      </w:r>
      <w:r>
        <w:rPr>
          <w:rFonts w:ascii="Arial" w:hAnsi="Arial" w:cs="Arial" w:hint="eastAsia"/>
          <w:color w:val="333333"/>
          <w:szCs w:val="21"/>
        </w:rPr>
        <w:t>国联安新精选混合</w:t>
      </w:r>
      <w:r>
        <w:rPr>
          <w:rFonts w:ascii="Arial" w:hAnsi="Arial" w:cs="Arial" w:hint="eastAsia"/>
          <w:szCs w:val="21"/>
        </w:rPr>
        <w:t>；基金代码：</w:t>
      </w:r>
      <w:r>
        <w:rPr>
          <w:rFonts w:ascii="Arial" w:hAnsi="Arial" w:cs="Arial" w:hint="eastAsia"/>
          <w:szCs w:val="21"/>
        </w:rPr>
        <w:t>A</w:t>
      </w:r>
      <w:r>
        <w:rPr>
          <w:rFonts w:ascii="Arial" w:hAnsi="Arial" w:cs="Arial" w:hint="eastAsia"/>
          <w:szCs w:val="21"/>
        </w:rPr>
        <w:t>类</w:t>
      </w:r>
      <w:r>
        <w:rPr>
          <w:rFonts w:ascii="Arial" w:hAnsi="Arial" w:cs="Arial"/>
          <w:szCs w:val="21"/>
        </w:rPr>
        <w:t>000417</w:t>
      </w:r>
      <w:r>
        <w:rPr>
          <w:rFonts w:ascii="Arial" w:hAnsi="Arial" w:cs="Arial" w:hint="eastAsia"/>
          <w:szCs w:val="21"/>
        </w:rPr>
        <w:t>）</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国联安中证医药</w:t>
      </w:r>
      <w:r>
        <w:rPr>
          <w:rFonts w:ascii="Arial" w:hAnsi="Arial" w:cs="Arial" w:hint="eastAsia"/>
          <w:szCs w:val="21"/>
        </w:rPr>
        <w:t>100</w:t>
      </w:r>
      <w:r>
        <w:rPr>
          <w:rFonts w:ascii="Arial" w:hAnsi="Arial" w:cs="Arial" w:hint="eastAsia"/>
          <w:szCs w:val="21"/>
        </w:rPr>
        <w:t>指数证券投资基金（基金简称：国联安医药</w:t>
      </w:r>
      <w:r>
        <w:rPr>
          <w:rFonts w:ascii="Arial" w:hAnsi="Arial" w:cs="Arial" w:hint="eastAsia"/>
          <w:szCs w:val="21"/>
        </w:rPr>
        <w:t>100</w:t>
      </w:r>
      <w:r>
        <w:rPr>
          <w:rFonts w:ascii="Arial" w:hAnsi="Arial" w:cs="Arial" w:hint="eastAsia"/>
          <w:szCs w:val="21"/>
        </w:rPr>
        <w:t>指数；基金代码：</w:t>
      </w:r>
      <w:r>
        <w:rPr>
          <w:rFonts w:ascii="Arial" w:hAnsi="Arial" w:cs="Arial" w:hint="eastAsia"/>
          <w:szCs w:val="21"/>
        </w:rPr>
        <w:t>A</w:t>
      </w:r>
      <w:r>
        <w:rPr>
          <w:rFonts w:ascii="Arial" w:hAnsi="Arial" w:cs="Arial" w:hint="eastAsia"/>
          <w:szCs w:val="21"/>
        </w:rPr>
        <w:t>类</w:t>
      </w:r>
      <w:r>
        <w:rPr>
          <w:rFonts w:ascii="Arial" w:hAnsi="Arial" w:cs="Arial"/>
          <w:szCs w:val="21"/>
        </w:rPr>
        <w:t>000059</w:t>
      </w:r>
      <w:r>
        <w:rPr>
          <w:rFonts w:ascii="Arial" w:hAnsi="Arial" w:cs="Arial" w:hint="eastAsia"/>
          <w:szCs w:val="21"/>
        </w:rPr>
        <w:t>、</w:t>
      </w:r>
      <w:r>
        <w:rPr>
          <w:rFonts w:ascii="Arial" w:hAnsi="Arial" w:cs="Arial" w:hint="eastAsia"/>
          <w:szCs w:val="21"/>
        </w:rPr>
        <w:t>C</w:t>
      </w:r>
      <w:r>
        <w:rPr>
          <w:rFonts w:ascii="Arial" w:hAnsi="Arial" w:cs="Arial" w:hint="eastAsia"/>
          <w:szCs w:val="21"/>
        </w:rPr>
        <w:t>类：</w:t>
      </w:r>
      <w:r>
        <w:rPr>
          <w:rFonts w:ascii="Arial" w:hAnsi="Arial" w:cs="Arial"/>
          <w:szCs w:val="21"/>
        </w:rPr>
        <w:t>006569</w:t>
      </w:r>
      <w:r>
        <w:rPr>
          <w:rFonts w:ascii="Arial" w:hAnsi="Arial" w:cs="Arial" w:hint="eastAsia"/>
          <w:szCs w:val="21"/>
        </w:rPr>
        <w:t>）</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国联安中证</w:t>
      </w:r>
      <w:r>
        <w:rPr>
          <w:rFonts w:ascii="Arial" w:hAnsi="Arial" w:cs="Arial" w:hint="eastAsia"/>
          <w:szCs w:val="21"/>
        </w:rPr>
        <w:t>1000</w:t>
      </w:r>
      <w:r>
        <w:rPr>
          <w:rFonts w:ascii="Arial" w:hAnsi="Arial" w:cs="Arial" w:hint="eastAsia"/>
          <w:szCs w:val="21"/>
        </w:rPr>
        <w:t>指数增强型证券投资基金（基金简称：</w:t>
      </w:r>
      <w:r>
        <w:rPr>
          <w:rFonts w:ascii="Arial" w:hAnsi="Arial" w:cs="Arial" w:hint="eastAsia"/>
          <w:color w:val="333333"/>
          <w:szCs w:val="21"/>
        </w:rPr>
        <w:t>国联安中证</w:t>
      </w:r>
      <w:r>
        <w:rPr>
          <w:rFonts w:ascii="Arial" w:hAnsi="Arial" w:cs="Arial" w:hint="eastAsia"/>
          <w:color w:val="333333"/>
          <w:szCs w:val="21"/>
        </w:rPr>
        <w:t>1000</w:t>
      </w:r>
      <w:r>
        <w:rPr>
          <w:rFonts w:ascii="Arial" w:hAnsi="Arial" w:cs="Arial" w:hint="eastAsia"/>
          <w:color w:val="333333"/>
          <w:szCs w:val="21"/>
        </w:rPr>
        <w:t>指数增强</w:t>
      </w:r>
      <w:r>
        <w:rPr>
          <w:rFonts w:ascii="Arial" w:hAnsi="Arial" w:cs="Arial" w:hint="eastAsia"/>
          <w:szCs w:val="21"/>
        </w:rPr>
        <w:t>；基金代码：</w:t>
      </w:r>
      <w:r>
        <w:rPr>
          <w:rFonts w:ascii="Arial" w:hAnsi="Arial" w:cs="Arial"/>
          <w:szCs w:val="21"/>
        </w:rPr>
        <w:t>A</w:t>
      </w:r>
      <w:r>
        <w:rPr>
          <w:rFonts w:ascii="Arial" w:hAnsi="Arial" w:cs="Arial" w:hint="eastAsia"/>
          <w:szCs w:val="21"/>
        </w:rPr>
        <w:t>类</w:t>
      </w:r>
      <w:r>
        <w:rPr>
          <w:rFonts w:ascii="Arial" w:hAnsi="Arial" w:cs="Arial"/>
          <w:szCs w:val="21"/>
        </w:rPr>
        <w:t>016962</w:t>
      </w:r>
      <w:r>
        <w:rPr>
          <w:rFonts w:ascii="Arial" w:hAnsi="Arial" w:cs="Arial" w:hint="eastAsia"/>
          <w:szCs w:val="21"/>
        </w:rPr>
        <w:t>、</w:t>
      </w:r>
      <w:r>
        <w:rPr>
          <w:rFonts w:ascii="Arial" w:hAnsi="Arial" w:cs="Arial" w:hint="eastAsia"/>
          <w:szCs w:val="21"/>
        </w:rPr>
        <w:t>C</w:t>
      </w:r>
      <w:r>
        <w:rPr>
          <w:rFonts w:ascii="Arial" w:hAnsi="Arial" w:cs="Arial" w:hint="eastAsia"/>
          <w:szCs w:val="21"/>
        </w:rPr>
        <w:t>类</w:t>
      </w:r>
      <w:r>
        <w:rPr>
          <w:rFonts w:ascii="Arial" w:hAnsi="Arial" w:cs="Arial"/>
          <w:szCs w:val="21"/>
        </w:rPr>
        <w:t>016963</w:t>
      </w:r>
      <w:r>
        <w:rPr>
          <w:rFonts w:ascii="Arial" w:hAnsi="Arial" w:cs="Arial" w:hint="eastAsia"/>
          <w:szCs w:val="21"/>
        </w:rPr>
        <w:t>）</w:t>
      </w:r>
    </w:p>
    <w:p w:rsidR="00407028" w:rsidRDefault="00407028" w:rsidP="0021106D">
      <w:pPr>
        <w:spacing w:line="360" w:lineRule="auto"/>
        <w:ind w:firstLineChars="200" w:firstLine="420"/>
        <w:rPr>
          <w:rFonts w:ascii="Arial" w:hAnsi="Arial" w:cs="Arial" w:hint="eastAsia"/>
          <w:szCs w:val="21"/>
        </w:rPr>
      </w:pPr>
      <w:r>
        <w:rPr>
          <w:rFonts w:ascii="Arial" w:hAnsi="Arial" w:cs="Arial" w:hint="eastAsia"/>
          <w:szCs w:val="21"/>
        </w:rPr>
        <w:t>国联安沪深</w:t>
      </w:r>
      <w:r>
        <w:rPr>
          <w:rFonts w:ascii="Arial" w:hAnsi="Arial" w:cs="Arial" w:hint="eastAsia"/>
          <w:szCs w:val="21"/>
        </w:rPr>
        <w:t>300</w:t>
      </w:r>
      <w:r>
        <w:rPr>
          <w:rFonts w:ascii="Arial" w:hAnsi="Arial" w:cs="Arial" w:hint="eastAsia"/>
          <w:szCs w:val="21"/>
        </w:rPr>
        <w:t>指数增强型证券投资基金（基金简称：国联安沪深</w:t>
      </w:r>
      <w:r>
        <w:rPr>
          <w:rFonts w:ascii="Arial" w:hAnsi="Arial" w:cs="Arial" w:hint="eastAsia"/>
          <w:szCs w:val="21"/>
        </w:rPr>
        <w:t>300</w:t>
      </w:r>
      <w:r>
        <w:rPr>
          <w:rFonts w:ascii="Arial" w:hAnsi="Arial" w:cs="Arial" w:hint="eastAsia"/>
          <w:szCs w:val="21"/>
        </w:rPr>
        <w:t>指数增强；基金代码：</w:t>
      </w:r>
      <w:r>
        <w:rPr>
          <w:rFonts w:ascii="Arial" w:hAnsi="Arial" w:cs="Arial"/>
          <w:szCs w:val="21"/>
        </w:rPr>
        <w:t>A</w:t>
      </w:r>
      <w:r>
        <w:rPr>
          <w:rFonts w:ascii="Arial" w:hAnsi="Arial" w:cs="Arial" w:hint="eastAsia"/>
          <w:szCs w:val="21"/>
        </w:rPr>
        <w:t>类</w:t>
      </w:r>
      <w:r>
        <w:rPr>
          <w:rFonts w:ascii="Arial" w:hAnsi="Arial" w:cs="Arial"/>
          <w:szCs w:val="21"/>
        </w:rPr>
        <w:t>020220</w:t>
      </w:r>
      <w:r>
        <w:rPr>
          <w:rFonts w:ascii="Arial" w:hAnsi="Arial" w:cs="Arial" w:hint="eastAsia"/>
          <w:szCs w:val="21"/>
        </w:rPr>
        <w:t>、</w:t>
      </w:r>
      <w:r>
        <w:rPr>
          <w:rFonts w:ascii="Arial" w:hAnsi="Arial" w:cs="Arial" w:hint="eastAsia"/>
          <w:szCs w:val="21"/>
        </w:rPr>
        <w:t>C</w:t>
      </w:r>
      <w:r>
        <w:rPr>
          <w:rFonts w:ascii="Arial" w:hAnsi="Arial" w:cs="Arial" w:hint="eastAsia"/>
          <w:szCs w:val="21"/>
        </w:rPr>
        <w:t>类</w:t>
      </w:r>
      <w:r>
        <w:rPr>
          <w:rFonts w:ascii="Arial" w:hAnsi="Arial" w:cs="Arial"/>
          <w:szCs w:val="21"/>
        </w:rPr>
        <w:t>020221</w:t>
      </w:r>
      <w:r>
        <w:rPr>
          <w:rFonts w:ascii="Arial" w:hAnsi="Arial" w:cs="Arial" w:hint="eastAsia"/>
          <w:szCs w:val="21"/>
        </w:rPr>
        <w:t>）</w:t>
      </w:r>
    </w:p>
    <w:p w:rsidR="00407028" w:rsidRDefault="00407028" w:rsidP="0021106D">
      <w:pPr>
        <w:spacing w:line="360" w:lineRule="auto"/>
        <w:ind w:firstLineChars="200" w:firstLine="420"/>
        <w:rPr>
          <w:rFonts w:ascii="Arial" w:hAnsi="Arial" w:cs="Arial" w:hint="eastAsia"/>
          <w:szCs w:val="21"/>
        </w:rPr>
      </w:pPr>
      <w:r>
        <w:rPr>
          <w:rFonts w:ascii="Arial" w:hAnsi="Arial" w:cs="Arial" w:hint="eastAsia"/>
          <w:szCs w:val="21"/>
        </w:rPr>
        <w:t>国联安信心增长债券型证券投资基金（基金简称：国联安信心增长债券；基金代码：</w:t>
      </w:r>
      <w:r>
        <w:rPr>
          <w:rFonts w:ascii="Arial" w:hAnsi="Arial" w:cs="Arial"/>
          <w:szCs w:val="21"/>
        </w:rPr>
        <w:t>A</w:t>
      </w:r>
      <w:r>
        <w:rPr>
          <w:rFonts w:ascii="Arial" w:hAnsi="Arial" w:cs="Arial" w:hint="eastAsia"/>
          <w:szCs w:val="21"/>
        </w:rPr>
        <w:t>类</w:t>
      </w:r>
      <w:r>
        <w:rPr>
          <w:rFonts w:ascii="Arial" w:hAnsi="Arial" w:cs="Arial"/>
          <w:szCs w:val="21"/>
        </w:rPr>
        <w:t>253060</w:t>
      </w:r>
      <w:r>
        <w:rPr>
          <w:rFonts w:ascii="Arial" w:hAnsi="Arial" w:cs="Arial" w:hint="eastAsia"/>
          <w:szCs w:val="21"/>
        </w:rPr>
        <w:t>、</w:t>
      </w:r>
      <w:r>
        <w:rPr>
          <w:rFonts w:ascii="Arial" w:hAnsi="Arial" w:cs="Arial" w:hint="eastAsia"/>
          <w:szCs w:val="21"/>
        </w:rPr>
        <w:t>B</w:t>
      </w:r>
      <w:r>
        <w:rPr>
          <w:rFonts w:ascii="Arial" w:hAnsi="Arial" w:cs="Arial" w:hint="eastAsia"/>
          <w:szCs w:val="21"/>
        </w:rPr>
        <w:t>类</w:t>
      </w:r>
      <w:r>
        <w:rPr>
          <w:rFonts w:ascii="Arial" w:hAnsi="Arial" w:cs="Arial"/>
          <w:szCs w:val="21"/>
        </w:rPr>
        <w:t>253061</w:t>
      </w:r>
      <w:r>
        <w:rPr>
          <w:rFonts w:ascii="Arial" w:hAnsi="Arial" w:cs="Arial" w:hint="eastAsia"/>
          <w:szCs w:val="21"/>
        </w:rPr>
        <w:t>）</w:t>
      </w:r>
    </w:p>
    <w:p w:rsidR="00407028" w:rsidRDefault="00407028">
      <w:pPr>
        <w:spacing w:line="360" w:lineRule="auto"/>
        <w:ind w:firstLineChars="200" w:firstLine="420"/>
        <w:rPr>
          <w:rFonts w:ascii="Arial" w:hAnsi="Arial" w:cs="Arial" w:hint="eastAsia"/>
          <w:szCs w:val="21"/>
        </w:rPr>
      </w:pPr>
      <w:r>
        <w:rPr>
          <w:rFonts w:ascii="Arial" w:cs="Arial"/>
          <w:szCs w:val="21"/>
        </w:rPr>
        <w:t>投资者可在邮储银行</w:t>
      </w:r>
      <w:r>
        <w:rPr>
          <w:rFonts w:ascii="Arial" w:cs="Arial"/>
          <w:szCs w:val="21"/>
        </w:rPr>
        <w:t>“</w:t>
      </w:r>
      <w:r>
        <w:rPr>
          <w:rFonts w:ascii="Arial" w:cs="Arial"/>
          <w:szCs w:val="21"/>
        </w:rPr>
        <w:t>邮你同赢</w:t>
      </w:r>
      <w:r>
        <w:rPr>
          <w:rFonts w:ascii="Arial" w:cs="Arial"/>
          <w:szCs w:val="21"/>
        </w:rPr>
        <w:t>”</w:t>
      </w:r>
      <w:r>
        <w:rPr>
          <w:rFonts w:ascii="Arial" w:cs="Arial"/>
          <w:szCs w:val="21"/>
        </w:rPr>
        <w:t>同业平台办理下述基金的申购、赎回</w:t>
      </w:r>
      <w:r>
        <w:rPr>
          <w:rFonts w:ascii="Arial" w:cs="Arial" w:hint="eastAsia"/>
          <w:szCs w:val="21"/>
        </w:rPr>
        <w:t>等</w:t>
      </w:r>
      <w:r>
        <w:rPr>
          <w:rFonts w:ascii="Arial" w:cs="Arial"/>
          <w:szCs w:val="21"/>
        </w:rPr>
        <w:t>相关业务：</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国联安双佳信用债券型证券投资基金（</w:t>
      </w:r>
      <w:r>
        <w:rPr>
          <w:rFonts w:ascii="Arial" w:hAnsi="Arial" w:cs="Arial" w:hint="eastAsia"/>
          <w:szCs w:val="21"/>
        </w:rPr>
        <w:t>LOF</w:t>
      </w:r>
      <w:r>
        <w:rPr>
          <w:rFonts w:ascii="Arial" w:hAnsi="Arial" w:cs="Arial" w:hint="eastAsia"/>
          <w:szCs w:val="21"/>
        </w:rPr>
        <w:t>）（基金简称：国联安双佳信用债券（</w:t>
      </w:r>
      <w:r>
        <w:rPr>
          <w:rFonts w:ascii="Arial" w:hAnsi="Arial" w:cs="Arial" w:hint="eastAsia"/>
          <w:szCs w:val="21"/>
        </w:rPr>
        <w:t>LOF</w:t>
      </w:r>
      <w:r>
        <w:rPr>
          <w:rFonts w:ascii="Arial" w:hAnsi="Arial" w:cs="Arial" w:hint="eastAsia"/>
          <w:szCs w:val="21"/>
        </w:rPr>
        <w:t>）；基金代码：</w:t>
      </w:r>
      <w:r>
        <w:rPr>
          <w:rFonts w:ascii="Arial" w:hAnsi="Arial" w:cs="Arial"/>
          <w:szCs w:val="21"/>
        </w:rPr>
        <w:t>162511</w:t>
      </w:r>
      <w:r>
        <w:rPr>
          <w:rFonts w:ascii="Arial" w:hAnsi="Arial" w:cs="Arial" w:hint="eastAsia"/>
          <w:szCs w:val="21"/>
        </w:rPr>
        <w:t>）</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二、转换业务规则</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lastRenderedPageBreak/>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、基金转换费及转换份额的计算：</w:t>
      </w:r>
    </w:p>
    <w:p w:rsidR="00407028" w:rsidRDefault="00407028">
      <w:pPr>
        <w:tabs>
          <w:tab w:val="left" w:pos="426"/>
        </w:tabs>
        <w:spacing w:line="360" w:lineRule="auto"/>
        <w:ind w:firstLineChars="200" w:firstLine="420"/>
        <w:rPr>
          <w:rFonts w:ascii="Arial" w:hAnsi="Arial" w:cs="Arial" w:hint="eastAsia"/>
          <w:szCs w:val="21"/>
        </w:rPr>
      </w:pPr>
      <w:r>
        <w:rPr>
          <w:rFonts w:ascii="Arial" w:hAnsi="Arial" w:cs="Arial" w:hint="eastAsia"/>
          <w:szCs w:val="21"/>
        </w:rPr>
        <w:t>进行基金转换的总费用包括转换手续费、转出基金的赎回费和转入基金与转出基金的申购补差费三部分。</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）转换手续费率为零。如基金转换手续费率调整将另行公告。</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）转入基金与转出基金的申购补差费按转入基金与转出基金之间申购费率的差额计算收取，具体计算公式如下：</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转入基金与转出基金的申购补差费率</w:t>
      </w:r>
      <w:r>
        <w:rPr>
          <w:rFonts w:ascii="Arial" w:hAnsi="Arial" w:cs="Arial" w:hint="eastAsia"/>
          <w:szCs w:val="21"/>
        </w:rPr>
        <w:t xml:space="preserve"> = max [</w:t>
      </w:r>
      <w:r>
        <w:rPr>
          <w:rFonts w:ascii="Arial" w:hAnsi="Arial" w:cs="Arial" w:hint="eastAsia"/>
          <w:szCs w:val="21"/>
        </w:rPr>
        <w:t>（转入基金的申购费率</w:t>
      </w:r>
      <w:r>
        <w:rPr>
          <w:rFonts w:ascii="Arial" w:hAnsi="Arial" w:cs="Arial" w:hint="eastAsia"/>
          <w:szCs w:val="21"/>
        </w:rPr>
        <w:t>-</w:t>
      </w:r>
      <w:r>
        <w:rPr>
          <w:rFonts w:ascii="Arial" w:hAnsi="Arial" w:cs="Arial" w:hint="eastAsia"/>
          <w:szCs w:val="21"/>
        </w:rPr>
        <w:t>转出基金的申购费率），</w:t>
      </w:r>
      <w:r>
        <w:rPr>
          <w:rFonts w:ascii="Arial" w:hAnsi="Arial" w:cs="Arial" w:hint="eastAsia"/>
          <w:szCs w:val="21"/>
        </w:rPr>
        <w:t>0 ]</w:t>
      </w:r>
      <w:r>
        <w:rPr>
          <w:rFonts w:ascii="Arial" w:hAnsi="Arial" w:cs="Arial" w:hint="eastAsia"/>
          <w:szCs w:val="21"/>
        </w:rPr>
        <w:t>，即转入基金申购费率减去转出基金申购费率，如为负数则取零。</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前端份额之间转换的申购补差费率按转出金额对应转入基金的申购费率和转出基金的申购费率作为依据来计算。后端份额之间转换的申购补差费率为零，因此申购补差费为零。</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2</w:t>
      </w:r>
      <w:r>
        <w:rPr>
          <w:rFonts w:ascii="Arial" w:hAnsi="Arial" w:cs="Arial" w:hint="eastAsia"/>
          <w:szCs w:val="21"/>
        </w:rPr>
        <w:t>、转换份额的计算公式：</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转出金额＝转出基金份额×转出基金当日基金份额净值</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转换费用＝转换手续费＋转出基金的赎回费＋申购补差费</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其中：</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转换手续费＝</w:t>
      </w:r>
      <w:r>
        <w:rPr>
          <w:rFonts w:ascii="Arial" w:hAnsi="Arial" w:cs="Arial" w:hint="eastAsia"/>
          <w:szCs w:val="21"/>
        </w:rPr>
        <w:t>0</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赎回费＝转出金额×转出基金赎回费率</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申购补差费＝</w:t>
      </w:r>
      <w:r>
        <w:rPr>
          <w:rFonts w:ascii="Arial" w:hAnsi="Arial" w:cs="Arial" w:hint="eastAsia"/>
          <w:szCs w:val="21"/>
        </w:rPr>
        <w:t>(</w:t>
      </w:r>
      <w:r>
        <w:rPr>
          <w:rFonts w:ascii="Arial" w:hAnsi="Arial" w:cs="Arial" w:hint="eastAsia"/>
          <w:szCs w:val="21"/>
        </w:rPr>
        <w:t>转出金额－赎回费</w:t>
      </w:r>
      <w:r>
        <w:rPr>
          <w:rFonts w:ascii="Arial" w:hAnsi="Arial" w:cs="Arial" w:hint="eastAsia"/>
          <w:szCs w:val="21"/>
        </w:rPr>
        <w:t>)</w:t>
      </w:r>
      <w:r>
        <w:rPr>
          <w:rFonts w:ascii="Arial" w:hAnsi="Arial" w:cs="Arial" w:hint="eastAsia"/>
          <w:szCs w:val="21"/>
        </w:rPr>
        <w:t>×申购补差费率</w:t>
      </w:r>
      <w:r>
        <w:rPr>
          <w:rFonts w:ascii="Arial" w:hAnsi="Arial" w:cs="Arial" w:hint="eastAsia"/>
          <w:szCs w:val="21"/>
        </w:rPr>
        <w:t>/(1+</w:t>
      </w:r>
      <w:r>
        <w:rPr>
          <w:rFonts w:ascii="Arial" w:hAnsi="Arial" w:cs="Arial" w:hint="eastAsia"/>
          <w:szCs w:val="21"/>
        </w:rPr>
        <w:t>申购补差费率</w:t>
      </w:r>
      <w:r>
        <w:rPr>
          <w:rFonts w:ascii="Arial" w:hAnsi="Arial" w:cs="Arial" w:hint="eastAsia"/>
          <w:szCs w:val="21"/>
        </w:rPr>
        <w:t>)</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）如果转入基金的申购费率</w:t>
      </w:r>
      <w:r>
        <w:rPr>
          <w:rFonts w:ascii="Arial" w:hAnsi="Arial" w:cs="Arial" w:hint="eastAsia"/>
          <w:szCs w:val="21"/>
        </w:rPr>
        <w:t xml:space="preserve"> &gt; </w:t>
      </w:r>
      <w:r>
        <w:rPr>
          <w:rFonts w:ascii="Arial" w:hAnsi="Arial" w:cs="Arial" w:hint="eastAsia"/>
          <w:szCs w:val="21"/>
        </w:rPr>
        <w:t>转出基金的申购费率</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转换费用＝转出基金的赎回费</w:t>
      </w:r>
      <w:r>
        <w:rPr>
          <w:rFonts w:ascii="Arial" w:hAnsi="Arial" w:cs="Arial" w:hint="eastAsia"/>
          <w:szCs w:val="21"/>
        </w:rPr>
        <w:t>+</w:t>
      </w:r>
      <w:r>
        <w:rPr>
          <w:rFonts w:ascii="Arial" w:hAnsi="Arial" w:cs="Arial" w:hint="eastAsia"/>
          <w:szCs w:val="21"/>
        </w:rPr>
        <w:t>申购补差费</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）如果转出基金的申购费率</w:t>
      </w:r>
      <w:r>
        <w:rPr>
          <w:rFonts w:ascii="Arial" w:hAnsi="Arial" w:cs="Arial" w:hint="eastAsia"/>
          <w:szCs w:val="21"/>
        </w:rPr>
        <w:t xml:space="preserve"> </w:t>
      </w:r>
      <w:r>
        <w:rPr>
          <w:rFonts w:ascii="Arial" w:hAnsi="Arial" w:cs="Arial" w:hint="eastAsia"/>
          <w:szCs w:val="21"/>
        </w:rPr>
        <w:t>≥</w:t>
      </w:r>
      <w:r>
        <w:rPr>
          <w:rFonts w:ascii="Arial" w:hAnsi="Arial" w:cs="Arial" w:hint="eastAsia"/>
          <w:szCs w:val="21"/>
        </w:rPr>
        <w:t xml:space="preserve"> </w:t>
      </w:r>
      <w:r>
        <w:rPr>
          <w:rFonts w:ascii="Arial" w:hAnsi="Arial" w:cs="Arial" w:hint="eastAsia"/>
          <w:szCs w:val="21"/>
        </w:rPr>
        <w:t>转入基金的申购费率</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转换费用＝转出基金的赎回费</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）转入金额</w:t>
      </w:r>
      <w:r>
        <w:rPr>
          <w:rFonts w:ascii="Arial" w:hAnsi="Arial" w:cs="Arial" w:hint="eastAsia"/>
          <w:szCs w:val="21"/>
        </w:rPr>
        <w:t xml:space="preserve"> = </w:t>
      </w:r>
      <w:r>
        <w:rPr>
          <w:rFonts w:ascii="Arial" w:hAnsi="Arial" w:cs="Arial" w:hint="eastAsia"/>
          <w:szCs w:val="21"/>
        </w:rPr>
        <w:t>转出金额</w:t>
      </w:r>
      <w:r>
        <w:rPr>
          <w:rFonts w:ascii="Arial" w:hAnsi="Arial" w:cs="Arial" w:hint="eastAsia"/>
          <w:szCs w:val="21"/>
        </w:rPr>
        <w:t xml:space="preserve"> - </w:t>
      </w:r>
      <w:r>
        <w:rPr>
          <w:rFonts w:ascii="Arial" w:hAnsi="Arial" w:cs="Arial" w:hint="eastAsia"/>
          <w:szCs w:val="21"/>
        </w:rPr>
        <w:t>转换费用</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）转入份额</w:t>
      </w:r>
      <w:r>
        <w:rPr>
          <w:rFonts w:ascii="Arial" w:hAnsi="Arial" w:cs="Arial" w:hint="eastAsia"/>
          <w:szCs w:val="21"/>
        </w:rPr>
        <w:t xml:space="preserve"> = </w:t>
      </w:r>
      <w:r>
        <w:rPr>
          <w:rFonts w:ascii="Arial" w:hAnsi="Arial" w:cs="Arial" w:hint="eastAsia"/>
          <w:szCs w:val="21"/>
        </w:rPr>
        <w:t>转入金额</w:t>
      </w:r>
      <w:r>
        <w:rPr>
          <w:rFonts w:ascii="Arial" w:hAnsi="Arial" w:cs="Arial" w:hint="eastAsia"/>
          <w:szCs w:val="21"/>
        </w:rPr>
        <w:t xml:space="preserve"> / </w:t>
      </w:r>
      <w:r>
        <w:rPr>
          <w:rFonts w:ascii="Arial" w:hAnsi="Arial" w:cs="Arial" w:hint="eastAsia"/>
          <w:szCs w:val="21"/>
        </w:rPr>
        <w:t>转入基金当日基金份额净值</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其中，转入基金的申购费率和转出基金的申购费率均以转出金额作为确定依据。</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注：转入份额的计算结果四舍五入保留到小数点后两位。</w:t>
      </w:r>
      <w:r>
        <w:rPr>
          <w:rFonts w:ascii="Arial" w:hAnsi="Arial" w:cs="Arial" w:hint="eastAsia"/>
          <w:szCs w:val="21"/>
        </w:rPr>
        <w:t xml:space="preserve"> </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3</w:t>
      </w:r>
      <w:r>
        <w:rPr>
          <w:rFonts w:ascii="Arial" w:hAnsi="Arial" w:cs="Arial" w:hint="eastAsia"/>
          <w:szCs w:val="21"/>
        </w:rPr>
        <w:t>、转换业务规则：</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lastRenderedPageBreak/>
        <w:t>（</w:t>
      </w:r>
      <w:r>
        <w:rPr>
          <w:rFonts w:ascii="Arial" w:hAnsi="Arial" w:cs="Arial" w:hint="eastAsia"/>
          <w:szCs w:val="21"/>
        </w:rPr>
        <w:t>1</w:t>
      </w:r>
      <w:r>
        <w:rPr>
          <w:rFonts w:ascii="Arial" w:hAnsi="Arial" w:cs="Arial" w:hint="eastAsia"/>
          <w:szCs w:val="21"/>
        </w:rPr>
        <w:t>）基金转换以份额为单位进行申请。投资者办理基金转换业务时，转出的基金必须处于可赎回状态，转入的基金必须处于可申购状态。</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）基金转换采取未知价法，即以申请受理当日各转出、转入基金的单位资产净值为基础进行计算。</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）正常情况下，基金注册登记机构将在</w:t>
      </w:r>
      <w:r>
        <w:rPr>
          <w:rFonts w:ascii="Arial" w:hAnsi="Arial" w:cs="Arial" w:hint="eastAsia"/>
          <w:szCs w:val="21"/>
        </w:rPr>
        <w:t>T+1</w:t>
      </w:r>
      <w:r>
        <w:rPr>
          <w:rFonts w:ascii="Arial" w:hAnsi="Arial" w:cs="Arial" w:hint="eastAsia"/>
          <w:szCs w:val="21"/>
        </w:rPr>
        <w:t>日对投资者</w:t>
      </w:r>
      <w:r>
        <w:rPr>
          <w:rFonts w:ascii="Arial" w:hAnsi="Arial" w:cs="Arial" w:hint="eastAsia"/>
          <w:szCs w:val="21"/>
        </w:rPr>
        <w:t>T</w:t>
      </w:r>
      <w:r>
        <w:rPr>
          <w:rFonts w:ascii="Arial" w:hAnsi="Arial" w:cs="Arial" w:hint="eastAsia"/>
          <w:szCs w:val="21"/>
        </w:rPr>
        <w:t>日的基金转换业务申请进行有效性确认。在</w:t>
      </w:r>
      <w:r>
        <w:rPr>
          <w:rFonts w:ascii="Arial" w:hAnsi="Arial" w:cs="Arial" w:hint="eastAsia"/>
          <w:szCs w:val="21"/>
        </w:rPr>
        <w:t>T+2</w:t>
      </w:r>
      <w:r>
        <w:rPr>
          <w:rFonts w:ascii="Arial" w:hAnsi="Arial" w:cs="Arial" w:hint="eastAsia"/>
          <w:szCs w:val="21"/>
        </w:rPr>
        <w:t>日后（包括该日）投资者可在相关网点查询基金转换的成交情况。</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）目前，每次对上述单只基金转换业务的申请原则上不得低于</w:t>
      </w:r>
      <w:r>
        <w:rPr>
          <w:rFonts w:ascii="Arial" w:hAnsi="Arial" w:cs="Arial" w:hint="eastAsia"/>
          <w:szCs w:val="21"/>
        </w:rPr>
        <w:t>100</w:t>
      </w:r>
      <w:r>
        <w:rPr>
          <w:rFonts w:ascii="Arial" w:hAnsi="Arial" w:cs="Arial" w:hint="eastAsia"/>
          <w:szCs w:val="21"/>
        </w:rPr>
        <w:t>份基金份额；如因某笔基金转出业务导致该基金单个交易账户的基金份额余额少于</w:t>
      </w:r>
      <w:r>
        <w:rPr>
          <w:rFonts w:ascii="Arial" w:hAnsi="Arial" w:cs="Arial" w:hint="eastAsia"/>
          <w:szCs w:val="21"/>
        </w:rPr>
        <w:t>100</w:t>
      </w:r>
      <w:r>
        <w:rPr>
          <w:rFonts w:ascii="Arial" w:hAnsi="Arial" w:cs="Arial" w:hint="eastAsia"/>
          <w:szCs w:val="21"/>
        </w:rPr>
        <w:t>份时，基金管理人将该交易账户保留的基金份额余额一次性全额转出。单笔转入申请不受转入基金最低申购限额限制。</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5</w:t>
      </w:r>
      <w:r>
        <w:rPr>
          <w:rFonts w:ascii="Arial" w:hAnsi="Arial" w:cs="Arial" w:hint="eastAsia"/>
          <w:szCs w:val="21"/>
        </w:rPr>
        <w:t>）单个开放日单只基金净赎回申请（赎回申请份额与转出申请份额总数，扣除申购申请份额与转入申请份额总数后的余额）超过上一开放日该基金总份额的</w:t>
      </w:r>
      <w:r>
        <w:rPr>
          <w:rFonts w:ascii="Arial" w:hAnsi="Arial" w:cs="Arial" w:hint="eastAsia"/>
          <w:szCs w:val="21"/>
        </w:rPr>
        <w:t>10%</w:t>
      </w:r>
      <w:r>
        <w:rPr>
          <w:rFonts w:ascii="Arial" w:hAnsi="Arial" w:cs="Arial" w:hint="eastAsia"/>
          <w:szCs w:val="21"/>
        </w:rPr>
        <w:t>时，即认为发生了巨额赎回。发生巨额赎回时，基金转出与基金赎回具有相同的优先等级，基金管理人可根据该基金资产组合情况，决定全额转出或部分转出，并且对于基金转出和基金赎回采取相同的比例确认。在转出申请得到部分确认的情况下，未确认的转出申请将不予以顺延。</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6</w:t>
      </w:r>
      <w:r>
        <w:rPr>
          <w:rFonts w:ascii="Arial" w:hAnsi="Arial" w:cs="Arial" w:hint="eastAsia"/>
          <w:szCs w:val="21"/>
        </w:rPr>
        <w:t>）目前，原持有基金为前端收费模式下基金份额的，只能转换为其他前端收费模式的基金份额，后端收费模式下的基金份额只能转换为其他后端收费模式的基金份额。</w:t>
      </w:r>
      <w:r>
        <w:rPr>
          <w:rFonts w:ascii="Arial" w:hAnsi="Arial" w:cs="Arial" w:hint="eastAsia"/>
          <w:szCs w:val="21"/>
        </w:rPr>
        <w:t xml:space="preserve"> </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7</w:t>
      </w:r>
      <w:r>
        <w:rPr>
          <w:rFonts w:ascii="Arial" w:hAnsi="Arial" w:cs="Arial" w:hint="eastAsia"/>
          <w:szCs w:val="21"/>
        </w:rPr>
        <w:t>）上述业务规则具体以各相关基金注册登记机构的有关规定为准。</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8</w:t>
      </w:r>
      <w:r>
        <w:rPr>
          <w:rFonts w:ascii="Arial" w:hAnsi="Arial" w:cs="Arial" w:hint="eastAsia"/>
          <w:szCs w:val="21"/>
        </w:rPr>
        <w:t>）在</w:t>
      </w:r>
      <w:r>
        <w:rPr>
          <w:rFonts w:ascii="Arial" w:cs="Arial"/>
          <w:szCs w:val="21"/>
        </w:rPr>
        <w:t>邮储银行</w:t>
      </w:r>
      <w:r>
        <w:rPr>
          <w:rFonts w:ascii="Arial" w:cs="Arial"/>
          <w:szCs w:val="21"/>
        </w:rPr>
        <w:t>“</w:t>
      </w:r>
      <w:r>
        <w:rPr>
          <w:rFonts w:ascii="Arial" w:cs="Arial"/>
          <w:szCs w:val="21"/>
        </w:rPr>
        <w:t>邮你同赢</w:t>
      </w:r>
      <w:r>
        <w:rPr>
          <w:rFonts w:ascii="Arial" w:cs="Arial"/>
          <w:szCs w:val="21"/>
        </w:rPr>
        <w:t>”</w:t>
      </w:r>
      <w:r>
        <w:rPr>
          <w:rFonts w:ascii="Arial" w:cs="Arial"/>
          <w:szCs w:val="21"/>
        </w:rPr>
        <w:t>同业平台</w:t>
      </w:r>
      <w:r>
        <w:rPr>
          <w:rFonts w:ascii="Arial" w:hAnsi="Arial" w:cs="Arial" w:hint="eastAsia"/>
          <w:szCs w:val="21"/>
        </w:rPr>
        <w:t>具体可办理转换业务的本公司旗下基金，为</w:t>
      </w:r>
      <w:r>
        <w:rPr>
          <w:rFonts w:ascii="Arial" w:cs="Arial"/>
          <w:szCs w:val="21"/>
        </w:rPr>
        <w:t>邮储银行</w:t>
      </w:r>
      <w:r>
        <w:rPr>
          <w:rFonts w:ascii="Arial" w:cs="Arial"/>
          <w:szCs w:val="21"/>
        </w:rPr>
        <w:t>“</w:t>
      </w:r>
      <w:r>
        <w:rPr>
          <w:rFonts w:ascii="Arial" w:cs="Arial"/>
          <w:szCs w:val="21"/>
        </w:rPr>
        <w:t>邮你同赢</w:t>
      </w:r>
      <w:r>
        <w:rPr>
          <w:rFonts w:ascii="Arial" w:cs="Arial"/>
          <w:szCs w:val="21"/>
        </w:rPr>
        <w:t>”</w:t>
      </w:r>
      <w:r>
        <w:rPr>
          <w:rFonts w:ascii="Arial" w:cs="Arial"/>
          <w:szCs w:val="21"/>
        </w:rPr>
        <w:t>同业平台</w:t>
      </w:r>
      <w:r>
        <w:rPr>
          <w:rFonts w:ascii="Arial" w:hAnsi="Arial" w:cs="Arial" w:hint="eastAsia"/>
          <w:szCs w:val="21"/>
        </w:rPr>
        <w:t>已销售并开通转换业务的基金。</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基金管理人可以在基金合同约定的范围内根据实际情况调整转换业务规则并公告。</w:t>
      </w:r>
    </w:p>
    <w:p w:rsidR="00407028" w:rsidRDefault="00407028">
      <w:pPr>
        <w:spacing w:line="360" w:lineRule="auto"/>
        <w:ind w:firstLineChars="100" w:firstLine="210"/>
        <w:rPr>
          <w:rFonts w:ascii="Arial" w:hAnsi="Arial" w:cs="Arial"/>
          <w:szCs w:val="21"/>
        </w:rPr>
      </w:pPr>
      <w:r>
        <w:rPr>
          <w:rFonts w:ascii="Arial" w:hAnsi="Arial" w:cs="Arial" w:hint="eastAsia"/>
          <w:szCs w:val="21"/>
        </w:rPr>
        <w:t xml:space="preserve">  </w:t>
      </w:r>
      <w:r>
        <w:rPr>
          <w:rFonts w:ascii="Arial" w:hAnsi="Arial" w:cs="Arial" w:hint="eastAsia"/>
          <w:szCs w:val="21"/>
        </w:rPr>
        <w:t>三</w:t>
      </w:r>
      <w:r>
        <w:rPr>
          <w:rFonts w:ascii="Arial" w:hAnsi="Arial" w:cs="Arial"/>
          <w:szCs w:val="21"/>
        </w:rPr>
        <w:t>、投资者可以通过以下途径了解或咨询相关详情</w:t>
      </w:r>
    </w:p>
    <w:p w:rsidR="00407028" w:rsidRDefault="00407028">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、国联安基金管理有限公司：</w:t>
      </w:r>
    </w:p>
    <w:p w:rsidR="00407028" w:rsidRDefault="00407028">
      <w:pPr>
        <w:spacing w:line="360" w:lineRule="auto"/>
        <w:ind w:firstLineChars="200" w:firstLine="420"/>
        <w:rPr>
          <w:rFonts w:ascii="Arial" w:hAnsi="Arial" w:cs="Arial"/>
          <w:szCs w:val="21"/>
        </w:rPr>
      </w:pPr>
      <w:r>
        <w:rPr>
          <w:rFonts w:ascii="Arial" w:hAnsi="Arial" w:cs="Arial"/>
          <w:szCs w:val="21"/>
        </w:rPr>
        <w:t>客户服务热线：</w:t>
      </w:r>
      <w:r>
        <w:rPr>
          <w:rFonts w:ascii="Arial" w:hAnsi="Arial" w:cs="Arial"/>
          <w:szCs w:val="21"/>
        </w:rPr>
        <w:t>021-38784766</w:t>
      </w:r>
      <w:r>
        <w:rPr>
          <w:rFonts w:ascii="Arial" w:hAnsi="Arial" w:cs="Arial"/>
          <w:szCs w:val="21"/>
        </w:rPr>
        <w:t>，</w:t>
      </w:r>
      <w:r>
        <w:rPr>
          <w:rFonts w:ascii="Arial" w:hAnsi="Arial" w:cs="Arial"/>
          <w:szCs w:val="21"/>
        </w:rPr>
        <w:t>400-700-0365</w:t>
      </w:r>
      <w:r>
        <w:rPr>
          <w:rFonts w:ascii="Arial" w:hAnsi="Arial" w:cs="Arial"/>
          <w:szCs w:val="21"/>
        </w:rPr>
        <w:t>（免长途话费）</w:t>
      </w:r>
    </w:p>
    <w:p w:rsidR="00407028" w:rsidRDefault="00407028">
      <w:pPr>
        <w:spacing w:line="360" w:lineRule="auto"/>
        <w:ind w:firstLineChars="200" w:firstLine="420"/>
        <w:rPr>
          <w:rFonts w:ascii="Arial" w:hAnsi="Arial" w:cs="Arial"/>
          <w:szCs w:val="21"/>
        </w:rPr>
      </w:pPr>
      <w:r>
        <w:rPr>
          <w:rFonts w:ascii="Arial" w:hAnsi="Arial" w:cs="Arial"/>
          <w:szCs w:val="21"/>
        </w:rPr>
        <w:t>网站：</w:t>
      </w:r>
      <w:r>
        <w:rPr>
          <w:rFonts w:ascii="Arial" w:hAnsi="Arial" w:cs="Arial"/>
          <w:szCs w:val="21"/>
        </w:rPr>
        <w:t>www.cpicfunds.com</w:t>
      </w:r>
    </w:p>
    <w:p w:rsidR="00407028" w:rsidRDefault="00407028">
      <w:pPr>
        <w:spacing w:line="360" w:lineRule="auto"/>
        <w:ind w:firstLineChars="200" w:firstLine="420"/>
        <w:rPr>
          <w:rFonts w:ascii="Arial" w:hAnsi="Arial" w:cs="Arial" w:hint="eastAsia"/>
          <w:szCs w:val="21"/>
        </w:rPr>
      </w:pPr>
      <w:r>
        <w:rPr>
          <w:rFonts w:ascii="Arial" w:hAnsi="Arial" w:cs="Arial"/>
          <w:szCs w:val="21"/>
        </w:rPr>
        <w:t>2</w:t>
      </w:r>
      <w:r>
        <w:rPr>
          <w:rFonts w:ascii="Arial" w:hAnsi="Arial" w:cs="Arial"/>
          <w:szCs w:val="21"/>
        </w:rPr>
        <w:t>、</w:t>
      </w:r>
      <w:r>
        <w:rPr>
          <w:rFonts w:ascii="Arial" w:hAnsi="Arial" w:cs="Arial" w:hint="eastAsia"/>
          <w:szCs w:val="21"/>
        </w:rPr>
        <w:t>中国邮政储蓄银行股份有限公司</w:t>
      </w:r>
      <w:r>
        <w:rPr>
          <w:rFonts w:ascii="Arial" w:cs="Arial"/>
          <w:szCs w:val="21"/>
        </w:rPr>
        <w:t>“</w:t>
      </w:r>
      <w:r>
        <w:rPr>
          <w:rFonts w:ascii="Arial" w:cs="Arial"/>
          <w:szCs w:val="21"/>
        </w:rPr>
        <w:t>邮你同赢</w:t>
      </w:r>
      <w:r>
        <w:rPr>
          <w:rFonts w:ascii="Arial" w:cs="Arial"/>
          <w:szCs w:val="21"/>
        </w:rPr>
        <w:t>”</w:t>
      </w:r>
      <w:r>
        <w:rPr>
          <w:rFonts w:ascii="Arial" w:cs="Arial"/>
          <w:szCs w:val="21"/>
        </w:rPr>
        <w:t>同业平台</w:t>
      </w:r>
      <w:r>
        <w:rPr>
          <w:rFonts w:ascii="Arial" w:hAnsi="Arial" w:cs="Arial" w:hint="eastAsia"/>
          <w:szCs w:val="21"/>
        </w:rPr>
        <w:t>：</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客户服务热线：</w:t>
      </w:r>
      <w:r>
        <w:rPr>
          <w:rFonts w:ascii="Arial" w:hAnsi="Arial" w:cs="Arial" w:hint="eastAsia"/>
          <w:szCs w:val="21"/>
        </w:rPr>
        <w:t>95580</w:t>
      </w:r>
    </w:p>
    <w:p w:rsidR="00407028" w:rsidRDefault="00407028">
      <w:pPr>
        <w:widowControl/>
        <w:ind w:firstLineChars="200" w:firstLine="420"/>
        <w:jc w:val="left"/>
        <w:rPr>
          <w:rFonts w:ascii="Arial" w:hAnsi="Arial" w:cs="Arial" w:hint="eastAsia"/>
          <w:szCs w:val="21"/>
        </w:rPr>
      </w:pPr>
      <w:r>
        <w:rPr>
          <w:rFonts w:ascii="Arial" w:hAnsi="Arial" w:cs="Arial" w:hint="eastAsia"/>
          <w:szCs w:val="21"/>
        </w:rPr>
        <w:t>网站</w:t>
      </w:r>
      <w:r>
        <w:rPr>
          <w:rFonts w:ascii="Arial" w:hAnsi="Arial" w:cs="Arial"/>
          <w:szCs w:val="21"/>
        </w:rPr>
        <w:t>：</w:t>
      </w:r>
      <w:r>
        <w:rPr>
          <w:rFonts w:ascii="Arial" w:hAnsi="Arial" w:cs="Arial"/>
          <w:szCs w:val="21"/>
        </w:rPr>
        <w:t>https://www.psbc.com</w:t>
      </w:r>
    </w:p>
    <w:p w:rsidR="00407028" w:rsidRDefault="00407028">
      <w:pPr>
        <w:spacing w:line="360" w:lineRule="auto"/>
        <w:ind w:firstLineChars="200" w:firstLine="420"/>
        <w:rPr>
          <w:rFonts w:ascii="Arial" w:hAnsi="Arial" w:cs="Arial"/>
          <w:szCs w:val="21"/>
        </w:rPr>
      </w:pPr>
      <w:r>
        <w:rPr>
          <w:rFonts w:ascii="Arial" w:hAnsi="Arial" w:cs="Arial" w:hint="eastAsia"/>
          <w:szCs w:val="21"/>
        </w:rPr>
        <w:t>四</w:t>
      </w:r>
      <w:r>
        <w:rPr>
          <w:rFonts w:ascii="Arial" w:hAnsi="Arial" w:cs="Arial"/>
          <w:szCs w:val="21"/>
        </w:rPr>
        <w:t>、重要提示</w:t>
      </w:r>
    </w:p>
    <w:p w:rsidR="00407028" w:rsidRDefault="00407028">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、本公告仅就</w:t>
      </w:r>
      <w:r>
        <w:rPr>
          <w:rFonts w:ascii="Arial" w:hAnsi="Arial" w:cs="Arial" w:hint="eastAsia"/>
          <w:szCs w:val="21"/>
        </w:rPr>
        <w:t>邮储银行</w:t>
      </w:r>
      <w:r>
        <w:rPr>
          <w:rFonts w:ascii="Arial" w:cs="Arial"/>
          <w:szCs w:val="21"/>
        </w:rPr>
        <w:t>“</w:t>
      </w:r>
      <w:r>
        <w:rPr>
          <w:rFonts w:ascii="Arial" w:cs="Arial"/>
          <w:szCs w:val="21"/>
        </w:rPr>
        <w:t>邮你同赢</w:t>
      </w:r>
      <w:r>
        <w:rPr>
          <w:rFonts w:ascii="Arial" w:cs="Arial"/>
          <w:szCs w:val="21"/>
        </w:rPr>
        <w:t>”</w:t>
      </w:r>
      <w:r>
        <w:rPr>
          <w:rFonts w:ascii="Arial" w:cs="Arial"/>
          <w:szCs w:val="21"/>
        </w:rPr>
        <w:t>同业平台</w:t>
      </w:r>
      <w:r>
        <w:rPr>
          <w:rFonts w:ascii="Arial" w:hAnsi="Arial" w:cs="Arial"/>
          <w:szCs w:val="21"/>
        </w:rPr>
        <w:t>开通</w:t>
      </w:r>
      <w:r>
        <w:rPr>
          <w:rFonts w:ascii="Arial" w:hAnsi="Arial" w:cs="Arial" w:hint="eastAsia"/>
          <w:szCs w:val="21"/>
        </w:rPr>
        <w:t>本公司</w:t>
      </w:r>
      <w:r>
        <w:rPr>
          <w:rFonts w:ascii="Arial" w:hAnsi="Arial" w:cs="Arial"/>
          <w:szCs w:val="21"/>
        </w:rPr>
        <w:t>旗下</w:t>
      </w:r>
      <w:r>
        <w:rPr>
          <w:rFonts w:ascii="Arial" w:hAnsi="Arial" w:cs="Arial" w:hint="eastAsia"/>
          <w:szCs w:val="21"/>
        </w:rPr>
        <w:t>部分基金</w:t>
      </w:r>
      <w:r>
        <w:rPr>
          <w:rFonts w:ascii="Arial" w:hAnsi="Arial" w:cs="Arial"/>
          <w:szCs w:val="21"/>
        </w:rPr>
        <w:t>的申购、赎回</w:t>
      </w:r>
      <w:r>
        <w:rPr>
          <w:rFonts w:ascii="Arial" w:hAnsi="Arial" w:cs="Arial" w:hint="eastAsia"/>
          <w:szCs w:val="21"/>
        </w:rPr>
        <w:t>及转换</w:t>
      </w:r>
      <w:r>
        <w:rPr>
          <w:rFonts w:ascii="Arial" w:hAnsi="Arial" w:cs="Arial"/>
          <w:szCs w:val="21"/>
        </w:rPr>
        <w:t>等相关销售业务的事项予以公告。今后</w:t>
      </w:r>
      <w:r>
        <w:rPr>
          <w:rFonts w:ascii="Arial" w:hAnsi="Arial" w:cs="Arial" w:hint="eastAsia"/>
          <w:szCs w:val="21"/>
        </w:rPr>
        <w:t>邮储银行</w:t>
      </w:r>
      <w:r>
        <w:rPr>
          <w:rFonts w:ascii="Arial" w:cs="Arial"/>
          <w:szCs w:val="21"/>
        </w:rPr>
        <w:t>“</w:t>
      </w:r>
      <w:r>
        <w:rPr>
          <w:rFonts w:ascii="Arial" w:cs="Arial"/>
          <w:szCs w:val="21"/>
        </w:rPr>
        <w:t>邮你同赢</w:t>
      </w:r>
      <w:r>
        <w:rPr>
          <w:rFonts w:ascii="Arial" w:cs="Arial"/>
          <w:szCs w:val="21"/>
        </w:rPr>
        <w:t>”</w:t>
      </w:r>
      <w:r>
        <w:rPr>
          <w:rFonts w:ascii="Arial" w:cs="Arial"/>
          <w:szCs w:val="21"/>
        </w:rPr>
        <w:t>同业平台</w:t>
      </w:r>
      <w:r>
        <w:rPr>
          <w:rFonts w:ascii="Arial" w:hAnsi="Arial" w:cs="Arial"/>
          <w:szCs w:val="21"/>
        </w:rPr>
        <w:t>若代理本公司旗下其他基金的销售及相关业务，届时将另行公告。</w:t>
      </w:r>
    </w:p>
    <w:p w:rsidR="00407028" w:rsidRDefault="00407028">
      <w:pPr>
        <w:spacing w:line="360" w:lineRule="auto"/>
        <w:ind w:firstLineChars="200" w:firstLine="420"/>
        <w:rPr>
          <w:rFonts w:ascii="Arial" w:hAnsi="Arial" w:cs="Arial"/>
          <w:szCs w:val="21"/>
        </w:rPr>
      </w:pPr>
      <w:r>
        <w:rPr>
          <w:rFonts w:ascii="Arial" w:hAnsi="Arial" w:cs="Arial" w:hint="eastAsia"/>
          <w:szCs w:val="21"/>
        </w:rPr>
        <w:t>2</w:t>
      </w:r>
      <w:r>
        <w:rPr>
          <w:rFonts w:ascii="宋体" w:hAnsi="宋体" w:cs="宋体" w:hint="eastAsia"/>
          <w:kern w:val="0"/>
          <w:szCs w:val="21"/>
        </w:rPr>
        <w:t>、本公告涉及</w:t>
      </w:r>
      <w:r>
        <w:rPr>
          <w:rFonts w:ascii="Arial" w:hAnsi="Arial" w:cs="Arial" w:hint="eastAsia"/>
          <w:szCs w:val="21"/>
        </w:rPr>
        <w:t>上述基金</w:t>
      </w:r>
      <w:r>
        <w:rPr>
          <w:rFonts w:ascii="宋体" w:hAnsi="宋体" w:cs="宋体" w:hint="eastAsia"/>
          <w:kern w:val="0"/>
          <w:szCs w:val="21"/>
        </w:rPr>
        <w:t>在</w:t>
      </w:r>
      <w:r>
        <w:rPr>
          <w:rFonts w:ascii="Arial" w:hAnsi="Arial" w:cs="Arial" w:hint="eastAsia"/>
          <w:szCs w:val="21"/>
        </w:rPr>
        <w:t>邮储银行</w:t>
      </w:r>
      <w:r>
        <w:rPr>
          <w:rFonts w:ascii="Arial" w:cs="Arial"/>
          <w:szCs w:val="21"/>
        </w:rPr>
        <w:t>“</w:t>
      </w:r>
      <w:r>
        <w:rPr>
          <w:rFonts w:ascii="Arial" w:cs="Arial"/>
          <w:szCs w:val="21"/>
        </w:rPr>
        <w:t>邮你同赢</w:t>
      </w:r>
      <w:r>
        <w:rPr>
          <w:rFonts w:ascii="Arial" w:cs="Arial"/>
          <w:szCs w:val="21"/>
        </w:rPr>
        <w:t>”</w:t>
      </w:r>
      <w:r>
        <w:rPr>
          <w:rFonts w:ascii="Arial" w:cs="Arial"/>
          <w:szCs w:val="21"/>
        </w:rPr>
        <w:t>同业平台</w:t>
      </w:r>
      <w:r>
        <w:rPr>
          <w:rFonts w:ascii="宋体" w:hAnsi="宋体" w:cs="宋体" w:hint="eastAsia"/>
          <w:kern w:val="0"/>
          <w:szCs w:val="21"/>
        </w:rPr>
        <w:t>办理基金销售业务的其他未明事项，敬请遵循邮储银行</w:t>
      </w:r>
      <w:r>
        <w:rPr>
          <w:rFonts w:ascii="Arial" w:cs="Arial"/>
          <w:szCs w:val="21"/>
        </w:rPr>
        <w:t>“</w:t>
      </w:r>
      <w:r>
        <w:rPr>
          <w:rFonts w:ascii="Arial" w:cs="Arial"/>
          <w:szCs w:val="21"/>
        </w:rPr>
        <w:t>邮你同赢</w:t>
      </w:r>
      <w:r>
        <w:rPr>
          <w:rFonts w:ascii="Arial" w:cs="Arial"/>
          <w:szCs w:val="21"/>
        </w:rPr>
        <w:t>”</w:t>
      </w:r>
      <w:r>
        <w:rPr>
          <w:rFonts w:ascii="Arial" w:cs="Arial"/>
          <w:szCs w:val="21"/>
        </w:rPr>
        <w:t>同业平台</w:t>
      </w:r>
      <w:r>
        <w:rPr>
          <w:rFonts w:ascii="宋体" w:hAnsi="宋体" w:cs="宋体" w:hint="eastAsia"/>
          <w:kern w:val="0"/>
          <w:szCs w:val="21"/>
        </w:rPr>
        <w:t>的具体规定。</w:t>
      </w:r>
    </w:p>
    <w:p w:rsidR="00407028" w:rsidRDefault="00407028">
      <w:pPr>
        <w:spacing w:line="360" w:lineRule="auto"/>
        <w:ind w:firstLineChars="200" w:firstLine="420"/>
        <w:rPr>
          <w:rFonts w:ascii="Arial" w:hAnsi="Arial" w:cs="Arial"/>
          <w:szCs w:val="21"/>
        </w:rPr>
      </w:pPr>
      <w:r>
        <w:rPr>
          <w:rFonts w:ascii="Arial" w:hAnsi="Arial" w:cs="Arial" w:hint="eastAsia"/>
          <w:szCs w:val="21"/>
        </w:rPr>
        <w:t>3</w:t>
      </w:r>
      <w:r>
        <w:rPr>
          <w:rFonts w:ascii="Arial" w:hAnsi="Arial" w:cs="Arial"/>
          <w:szCs w:val="21"/>
        </w:rPr>
        <w:t>、投资者办理基金交易等相关业务前，应仔细阅读</w:t>
      </w:r>
      <w:r>
        <w:rPr>
          <w:rFonts w:ascii="Arial" w:hAnsi="Arial" w:cs="Arial" w:hint="eastAsia"/>
          <w:szCs w:val="21"/>
        </w:rPr>
        <w:t>相关基金</w:t>
      </w:r>
      <w:r>
        <w:rPr>
          <w:rFonts w:ascii="Arial" w:hAnsi="Arial" w:cs="Arial"/>
          <w:szCs w:val="21"/>
        </w:rPr>
        <w:t>的基金合同、招募说明书及其更新、</w:t>
      </w:r>
      <w:r>
        <w:rPr>
          <w:rFonts w:ascii="Arial" w:hAnsi="Arial" w:cs="Arial" w:hint="eastAsia"/>
          <w:szCs w:val="21"/>
        </w:rPr>
        <w:t>产品资料概要及其更新、</w:t>
      </w:r>
      <w:r>
        <w:rPr>
          <w:rFonts w:ascii="Arial" w:hAnsi="Arial" w:cs="Arial"/>
          <w:szCs w:val="21"/>
        </w:rPr>
        <w:t>风险提示及相关业务规则和操作指南等文件。</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4</w:t>
      </w:r>
      <w:r>
        <w:rPr>
          <w:rFonts w:ascii="Arial" w:hAnsi="Arial" w:cs="Arial"/>
          <w:szCs w:val="21"/>
        </w:rPr>
        <w:t>、本公告的最终解释权归本公司所有。</w:t>
      </w:r>
    </w:p>
    <w:p w:rsidR="00407028" w:rsidRDefault="00407028">
      <w:pPr>
        <w:spacing w:line="360" w:lineRule="auto"/>
        <w:ind w:firstLineChars="200" w:firstLine="420"/>
        <w:rPr>
          <w:rFonts w:ascii="Arial" w:hAnsi="Arial" w:cs="Arial" w:hint="eastAsia"/>
          <w:szCs w:val="21"/>
        </w:rPr>
      </w:pP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风险提示：本公司承诺以诚实信用、勤勉尽责的原则管理和运用基金财产，但不保证基金一定盈利，也不保证最低收益。基金的过往业绩并不代表其将来表现，基金管理人管理的其他基金的业绩并不构成特定基金业绩表现的保证。</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407028" w:rsidRDefault="00407028">
      <w:pPr>
        <w:spacing w:line="360" w:lineRule="auto"/>
        <w:ind w:firstLineChars="200" w:firstLine="420"/>
        <w:rPr>
          <w:rFonts w:ascii="Arial" w:hAnsi="Arial" w:cs="Arial" w:hint="eastAsia"/>
          <w:szCs w:val="21"/>
        </w:rPr>
      </w:pPr>
      <w:r>
        <w:rPr>
          <w:rFonts w:ascii="Arial" w:hAnsi="Arial" w:cs="Arial" w:hint="eastAsia"/>
          <w:szCs w:val="21"/>
        </w:rPr>
        <w:t>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407028" w:rsidRDefault="00407028">
      <w:pPr>
        <w:spacing w:line="360" w:lineRule="auto"/>
        <w:ind w:firstLineChars="200" w:firstLine="420"/>
        <w:rPr>
          <w:rFonts w:ascii="Arial" w:hAnsi="Arial" w:cs="Arial" w:hint="eastAsia"/>
          <w:szCs w:val="21"/>
        </w:rPr>
      </w:pPr>
      <w:r>
        <w:rPr>
          <w:rFonts w:ascii="Arial" w:hAnsi="Arial" w:cs="Arial"/>
          <w:szCs w:val="21"/>
        </w:rPr>
        <w:t>特此公告。</w:t>
      </w:r>
    </w:p>
    <w:p w:rsidR="00407028" w:rsidRDefault="00407028">
      <w:pPr>
        <w:spacing w:line="360" w:lineRule="auto"/>
        <w:ind w:firstLineChars="200" w:firstLine="420"/>
        <w:jc w:val="right"/>
        <w:rPr>
          <w:rFonts w:ascii="Arial" w:hAnsi="Arial" w:cs="Arial"/>
          <w:szCs w:val="21"/>
        </w:rPr>
      </w:pPr>
      <w:r>
        <w:rPr>
          <w:rFonts w:ascii="Arial" w:hAnsi="Arial" w:cs="Arial"/>
          <w:szCs w:val="21"/>
        </w:rPr>
        <w:t>国联安基金管理有限公司</w:t>
      </w:r>
    </w:p>
    <w:p w:rsidR="00407028" w:rsidRDefault="00407028">
      <w:pPr>
        <w:wordWrap w:val="0"/>
        <w:spacing w:line="360" w:lineRule="auto"/>
        <w:ind w:firstLineChars="200" w:firstLine="420"/>
        <w:jc w:val="right"/>
        <w:rPr>
          <w:rFonts w:ascii="Arial" w:hAnsi="Arial" w:cs="Arial"/>
          <w:szCs w:val="21"/>
        </w:rPr>
      </w:pPr>
      <w:r>
        <w:rPr>
          <w:rFonts w:ascii="Arial" w:hAnsi="Arial" w:cs="Arial"/>
          <w:szCs w:val="21"/>
        </w:rPr>
        <w:t>二〇</w:t>
      </w:r>
      <w:r>
        <w:rPr>
          <w:rFonts w:ascii="Arial" w:hAnsi="Arial" w:cs="Arial" w:hint="eastAsia"/>
          <w:szCs w:val="21"/>
        </w:rPr>
        <w:t>二五</w:t>
      </w:r>
      <w:r>
        <w:rPr>
          <w:rFonts w:ascii="Arial" w:hAnsi="Arial" w:cs="Arial"/>
          <w:szCs w:val="21"/>
        </w:rPr>
        <w:t>年</w:t>
      </w:r>
      <w:r>
        <w:rPr>
          <w:rFonts w:ascii="Arial" w:hAnsi="Arial" w:cs="Arial" w:hint="eastAsia"/>
          <w:szCs w:val="21"/>
        </w:rPr>
        <w:t>十二</w:t>
      </w:r>
      <w:r>
        <w:rPr>
          <w:rFonts w:ascii="Arial" w:hAnsi="Arial" w:cs="Arial"/>
          <w:szCs w:val="21"/>
        </w:rPr>
        <w:t>月</w:t>
      </w:r>
      <w:r>
        <w:rPr>
          <w:rFonts w:ascii="Arial" w:hAnsi="Arial" w:cs="Arial" w:hint="eastAsia"/>
          <w:szCs w:val="21"/>
        </w:rPr>
        <w:t>十八</w:t>
      </w:r>
      <w:r>
        <w:rPr>
          <w:rFonts w:ascii="Arial" w:hAnsi="Arial" w:cs="Arial"/>
          <w:szCs w:val="21"/>
        </w:rPr>
        <w:t>日</w:t>
      </w:r>
    </w:p>
    <w:sectPr w:rsidR="0040702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jc5YThiMDRhMjNmOTM3NzA3YTZhNGRkYzUzNzMyNTIifQ=="/>
    <w:docVar w:name="KSO_WPS_MARK_KEY" w:val="0882d0db-23c4-4fa9-a4ed-d781438314f9"/>
  </w:docVars>
  <w:rsids>
    <w:rsidRoot w:val="0048775A"/>
    <w:rsid w:val="000112F1"/>
    <w:rsid w:val="00015DB8"/>
    <w:rsid w:val="00022D2B"/>
    <w:rsid w:val="00024C8D"/>
    <w:rsid w:val="000279A8"/>
    <w:rsid w:val="00040927"/>
    <w:rsid w:val="00050D30"/>
    <w:rsid w:val="00051E47"/>
    <w:rsid w:val="0005456C"/>
    <w:rsid w:val="0006028F"/>
    <w:rsid w:val="00060610"/>
    <w:rsid w:val="00060BC1"/>
    <w:rsid w:val="0006603D"/>
    <w:rsid w:val="000870F2"/>
    <w:rsid w:val="00095879"/>
    <w:rsid w:val="000B5F24"/>
    <w:rsid w:val="000B7F00"/>
    <w:rsid w:val="000C5664"/>
    <w:rsid w:val="000D0FEB"/>
    <w:rsid w:val="000E36FD"/>
    <w:rsid w:val="000F413C"/>
    <w:rsid w:val="00106BC9"/>
    <w:rsid w:val="0012636C"/>
    <w:rsid w:val="0013792F"/>
    <w:rsid w:val="00156672"/>
    <w:rsid w:val="001720D8"/>
    <w:rsid w:val="001737A2"/>
    <w:rsid w:val="001768E1"/>
    <w:rsid w:val="00191E08"/>
    <w:rsid w:val="00197268"/>
    <w:rsid w:val="001D343B"/>
    <w:rsid w:val="0021106D"/>
    <w:rsid w:val="002304F4"/>
    <w:rsid w:val="002465F6"/>
    <w:rsid w:val="00267878"/>
    <w:rsid w:val="002779AA"/>
    <w:rsid w:val="00291FA9"/>
    <w:rsid w:val="002A3549"/>
    <w:rsid w:val="002B1A64"/>
    <w:rsid w:val="002C4287"/>
    <w:rsid w:val="002D0AA2"/>
    <w:rsid w:val="002D61BD"/>
    <w:rsid w:val="002F2B54"/>
    <w:rsid w:val="002F31F8"/>
    <w:rsid w:val="00307327"/>
    <w:rsid w:val="003127FA"/>
    <w:rsid w:val="0032413B"/>
    <w:rsid w:val="00333118"/>
    <w:rsid w:val="00352D48"/>
    <w:rsid w:val="00355833"/>
    <w:rsid w:val="0035756E"/>
    <w:rsid w:val="003704AA"/>
    <w:rsid w:val="00371D8C"/>
    <w:rsid w:val="00380E7E"/>
    <w:rsid w:val="00384127"/>
    <w:rsid w:val="00386602"/>
    <w:rsid w:val="00386691"/>
    <w:rsid w:val="0039283C"/>
    <w:rsid w:val="003A6491"/>
    <w:rsid w:val="003B3DB7"/>
    <w:rsid w:val="003B5A50"/>
    <w:rsid w:val="003C286C"/>
    <w:rsid w:val="003E6081"/>
    <w:rsid w:val="003E73D3"/>
    <w:rsid w:val="00407028"/>
    <w:rsid w:val="00410CD5"/>
    <w:rsid w:val="00417EC1"/>
    <w:rsid w:val="00425E99"/>
    <w:rsid w:val="00432328"/>
    <w:rsid w:val="00432775"/>
    <w:rsid w:val="0043286C"/>
    <w:rsid w:val="004345D1"/>
    <w:rsid w:val="004606D0"/>
    <w:rsid w:val="00460A29"/>
    <w:rsid w:val="00467868"/>
    <w:rsid w:val="00485A66"/>
    <w:rsid w:val="0048775A"/>
    <w:rsid w:val="004A55E2"/>
    <w:rsid w:val="004C7FBA"/>
    <w:rsid w:val="004D4A5C"/>
    <w:rsid w:val="004D5758"/>
    <w:rsid w:val="00525DFB"/>
    <w:rsid w:val="00535F16"/>
    <w:rsid w:val="005410A3"/>
    <w:rsid w:val="00550DF0"/>
    <w:rsid w:val="005540FD"/>
    <w:rsid w:val="00555DFD"/>
    <w:rsid w:val="005571E4"/>
    <w:rsid w:val="00591A8C"/>
    <w:rsid w:val="0059212C"/>
    <w:rsid w:val="005E2669"/>
    <w:rsid w:val="005F4716"/>
    <w:rsid w:val="005F790A"/>
    <w:rsid w:val="00601BE4"/>
    <w:rsid w:val="00605006"/>
    <w:rsid w:val="00616251"/>
    <w:rsid w:val="00617434"/>
    <w:rsid w:val="0062774B"/>
    <w:rsid w:val="00640265"/>
    <w:rsid w:val="0064260F"/>
    <w:rsid w:val="00645976"/>
    <w:rsid w:val="006467A4"/>
    <w:rsid w:val="00656F1C"/>
    <w:rsid w:val="00670E10"/>
    <w:rsid w:val="006717D9"/>
    <w:rsid w:val="00672179"/>
    <w:rsid w:val="00676B6A"/>
    <w:rsid w:val="00692EBE"/>
    <w:rsid w:val="006A2583"/>
    <w:rsid w:val="006B4D14"/>
    <w:rsid w:val="006B7A43"/>
    <w:rsid w:val="006C30E9"/>
    <w:rsid w:val="006C53D6"/>
    <w:rsid w:val="006C5EAD"/>
    <w:rsid w:val="006D252C"/>
    <w:rsid w:val="006D469E"/>
    <w:rsid w:val="006E5BBF"/>
    <w:rsid w:val="006F4100"/>
    <w:rsid w:val="00700C56"/>
    <w:rsid w:val="00706649"/>
    <w:rsid w:val="00717BC0"/>
    <w:rsid w:val="007526DB"/>
    <w:rsid w:val="00775009"/>
    <w:rsid w:val="00780E2D"/>
    <w:rsid w:val="007B6063"/>
    <w:rsid w:val="007C3A19"/>
    <w:rsid w:val="007D593C"/>
    <w:rsid w:val="007E679E"/>
    <w:rsid w:val="007F516E"/>
    <w:rsid w:val="008009D7"/>
    <w:rsid w:val="00836030"/>
    <w:rsid w:val="008400B5"/>
    <w:rsid w:val="00840C9B"/>
    <w:rsid w:val="00844D94"/>
    <w:rsid w:val="00846AE1"/>
    <w:rsid w:val="008536FA"/>
    <w:rsid w:val="00854920"/>
    <w:rsid w:val="00875925"/>
    <w:rsid w:val="008873A8"/>
    <w:rsid w:val="00890851"/>
    <w:rsid w:val="008954CE"/>
    <w:rsid w:val="008B6E96"/>
    <w:rsid w:val="008C154F"/>
    <w:rsid w:val="008E1106"/>
    <w:rsid w:val="008F4E9C"/>
    <w:rsid w:val="00911456"/>
    <w:rsid w:val="009144FD"/>
    <w:rsid w:val="00942B47"/>
    <w:rsid w:val="00943F80"/>
    <w:rsid w:val="00947D38"/>
    <w:rsid w:val="009575E9"/>
    <w:rsid w:val="00961CFF"/>
    <w:rsid w:val="00961E86"/>
    <w:rsid w:val="00962A1C"/>
    <w:rsid w:val="00972CF5"/>
    <w:rsid w:val="009A0D87"/>
    <w:rsid w:val="009B0C0B"/>
    <w:rsid w:val="009D1790"/>
    <w:rsid w:val="009E14D2"/>
    <w:rsid w:val="00A04718"/>
    <w:rsid w:val="00A07A8B"/>
    <w:rsid w:val="00A2008D"/>
    <w:rsid w:val="00A30B57"/>
    <w:rsid w:val="00A32DFE"/>
    <w:rsid w:val="00A32ED5"/>
    <w:rsid w:val="00A46807"/>
    <w:rsid w:val="00A52BB6"/>
    <w:rsid w:val="00A63F59"/>
    <w:rsid w:val="00A63FE1"/>
    <w:rsid w:val="00A74C31"/>
    <w:rsid w:val="00A90280"/>
    <w:rsid w:val="00AB566B"/>
    <w:rsid w:val="00AB6C95"/>
    <w:rsid w:val="00AC14E8"/>
    <w:rsid w:val="00AC15E0"/>
    <w:rsid w:val="00AC29E8"/>
    <w:rsid w:val="00AC3AFD"/>
    <w:rsid w:val="00AC7E76"/>
    <w:rsid w:val="00B1727F"/>
    <w:rsid w:val="00B31FA4"/>
    <w:rsid w:val="00B333CA"/>
    <w:rsid w:val="00B4046B"/>
    <w:rsid w:val="00B451E7"/>
    <w:rsid w:val="00B57C24"/>
    <w:rsid w:val="00B6576A"/>
    <w:rsid w:val="00B7161C"/>
    <w:rsid w:val="00B7347B"/>
    <w:rsid w:val="00B76671"/>
    <w:rsid w:val="00B818F1"/>
    <w:rsid w:val="00B9310F"/>
    <w:rsid w:val="00BA3522"/>
    <w:rsid w:val="00BB17B4"/>
    <w:rsid w:val="00BB3059"/>
    <w:rsid w:val="00BD0CA4"/>
    <w:rsid w:val="00BD5661"/>
    <w:rsid w:val="00BD63B3"/>
    <w:rsid w:val="00C0599F"/>
    <w:rsid w:val="00C07AE5"/>
    <w:rsid w:val="00C10754"/>
    <w:rsid w:val="00C24D0A"/>
    <w:rsid w:val="00C272EF"/>
    <w:rsid w:val="00C302F8"/>
    <w:rsid w:val="00C577DB"/>
    <w:rsid w:val="00C81C3C"/>
    <w:rsid w:val="00C9434D"/>
    <w:rsid w:val="00CD56B2"/>
    <w:rsid w:val="00CE2F4F"/>
    <w:rsid w:val="00CE479D"/>
    <w:rsid w:val="00D13D2A"/>
    <w:rsid w:val="00D14403"/>
    <w:rsid w:val="00D36201"/>
    <w:rsid w:val="00D41E86"/>
    <w:rsid w:val="00D50891"/>
    <w:rsid w:val="00D5173A"/>
    <w:rsid w:val="00D54863"/>
    <w:rsid w:val="00D5490B"/>
    <w:rsid w:val="00D61755"/>
    <w:rsid w:val="00D67907"/>
    <w:rsid w:val="00D71CDD"/>
    <w:rsid w:val="00D723F7"/>
    <w:rsid w:val="00DB3892"/>
    <w:rsid w:val="00DB3EDB"/>
    <w:rsid w:val="00DB621B"/>
    <w:rsid w:val="00DC19A7"/>
    <w:rsid w:val="00DC4493"/>
    <w:rsid w:val="00DF694F"/>
    <w:rsid w:val="00E168BE"/>
    <w:rsid w:val="00E1751E"/>
    <w:rsid w:val="00E2103B"/>
    <w:rsid w:val="00E46B32"/>
    <w:rsid w:val="00E620A6"/>
    <w:rsid w:val="00E65B4C"/>
    <w:rsid w:val="00E67ADF"/>
    <w:rsid w:val="00EA2828"/>
    <w:rsid w:val="00EB1A5F"/>
    <w:rsid w:val="00EC40BB"/>
    <w:rsid w:val="00ED204B"/>
    <w:rsid w:val="00ED4E47"/>
    <w:rsid w:val="00EE74A7"/>
    <w:rsid w:val="00F058C1"/>
    <w:rsid w:val="00F14633"/>
    <w:rsid w:val="00F37298"/>
    <w:rsid w:val="00F507B8"/>
    <w:rsid w:val="00F66B63"/>
    <w:rsid w:val="00F74B30"/>
    <w:rsid w:val="00F771AD"/>
    <w:rsid w:val="00F8507B"/>
    <w:rsid w:val="00F85163"/>
    <w:rsid w:val="00F86429"/>
    <w:rsid w:val="00F9438E"/>
    <w:rsid w:val="00FA2317"/>
    <w:rsid w:val="00FB15E0"/>
    <w:rsid w:val="00FB24F1"/>
    <w:rsid w:val="00FC4537"/>
    <w:rsid w:val="00FD3BB7"/>
    <w:rsid w:val="00FE2650"/>
    <w:rsid w:val="00FF7CD6"/>
    <w:rsid w:val="029456A9"/>
    <w:rsid w:val="06214EBC"/>
    <w:rsid w:val="0764375F"/>
    <w:rsid w:val="08200E79"/>
    <w:rsid w:val="0F032E62"/>
    <w:rsid w:val="114E421F"/>
    <w:rsid w:val="17484B2B"/>
    <w:rsid w:val="1A0661DF"/>
    <w:rsid w:val="24AC5CEC"/>
    <w:rsid w:val="28C606ED"/>
    <w:rsid w:val="2A755FEE"/>
    <w:rsid w:val="2B741670"/>
    <w:rsid w:val="2FE251F2"/>
    <w:rsid w:val="325B1705"/>
    <w:rsid w:val="3CB95975"/>
    <w:rsid w:val="3D320A73"/>
    <w:rsid w:val="41495841"/>
    <w:rsid w:val="4A995804"/>
    <w:rsid w:val="4F37ED1A"/>
    <w:rsid w:val="4F3A59C3"/>
    <w:rsid w:val="4F3C6BCD"/>
    <w:rsid w:val="51A50853"/>
    <w:rsid w:val="53206AC2"/>
    <w:rsid w:val="5A2A11E6"/>
    <w:rsid w:val="5BB80536"/>
    <w:rsid w:val="5F6FC586"/>
    <w:rsid w:val="64B71C61"/>
    <w:rsid w:val="6D74C051"/>
    <w:rsid w:val="6FFFC3FE"/>
    <w:rsid w:val="74E929AA"/>
    <w:rsid w:val="77682C56"/>
    <w:rsid w:val="78493CBF"/>
    <w:rsid w:val="7C607325"/>
    <w:rsid w:val="7C640CAF"/>
    <w:rsid w:val="7E294D59"/>
    <w:rsid w:val="7F6923A1"/>
    <w:rsid w:val="7FED3908"/>
    <w:rsid w:val="7FF96031"/>
    <w:rsid w:val="7FF9D582"/>
    <w:rsid w:val="A3AFC696"/>
    <w:rsid w:val="C35E6CB7"/>
    <w:rsid w:val="DFEF888C"/>
    <w:rsid w:val="EF65FE04"/>
    <w:rsid w:val="FF37EE20"/>
    <w:rsid w:val="FFBFC5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Hyperlink"/>
    <w:rPr>
      <w:color w:val="0000FF"/>
      <w:u w:val="single"/>
    </w:rPr>
  </w:style>
  <w:style w:type="character" w:customStyle="1" w:styleId="a5">
    <w:name w:val="批注文字 字符"/>
    <w:link w:val="a6"/>
    <w:rPr>
      <w:kern w:val="2"/>
      <w:sz w:val="21"/>
      <w:szCs w:val="24"/>
    </w:rPr>
  </w:style>
  <w:style w:type="character" w:customStyle="1" w:styleId="a7">
    <w:name w:val="页眉 字符"/>
    <w:link w:val="a8"/>
    <w:rPr>
      <w:kern w:val="2"/>
      <w:sz w:val="18"/>
      <w:szCs w:val="18"/>
    </w:rPr>
  </w:style>
  <w:style w:type="character" w:customStyle="1" w:styleId="a9">
    <w:name w:val="页脚 字符"/>
    <w:link w:val="aa"/>
    <w:rPr>
      <w:kern w:val="2"/>
      <w:sz w:val="18"/>
      <w:szCs w:val="18"/>
    </w:rPr>
  </w:style>
  <w:style w:type="character" w:customStyle="1" w:styleId="ab">
    <w:name w:val="批注主题 字符"/>
    <w:link w:val="ac"/>
    <w:rPr>
      <w:b/>
      <w:bCs/>
      <w:kern w:val="2"/>
      <w:sz w:val="21"/>
      <w:szCs w:val="24"/>
    </w:rPr>
  </w:style>
  <w:style w:type="paragraph" w:styleId="ad">
    <w:name w:val="Normal (Web)"/>
    <w:basedOn w:val="a"/>
    <w:pPr>
      <w:spacing w:before="100" w:beforeAutospacing="1" w:after="100" w:afterAutospacing="1"/>
      <w:jc w:val="left"/>
    </w:pPr>
    <w:rPr>
      <w:kern w:val="0"/>
      <w:sz w:val="24"/>
    </w:rPr>
  </w:style>
  <w:style w:type="paragraph" w:styleId="ac">
    <w:name w:val="annotation subject"/>
    <w:basedOn w:val="a6"/>
    <w:next w:val="a6"/>
    <w:link w:val="ab"/>
    <w:rPr>
      <w:b/>
      <w:bCs/>
    </w:rPr>
  </w:style>
  <w:style w:type="paragraph" w:styleId="a8">
    <w:name w:val="header"/>
    <w:basedOn w:val="a"/>
    <w:link w:val="a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footer"/>
    <w:basedOn w:val="a"/>
    <w:link w:val="a9"/>
    <w:pPr>
      <w:tabs>
        <w:tab w:val="center" w:pos="4153"/>
        <w:tab w:val="right" w:pos="8306"/>
      </w:tabs>
      <w:snapToGrid w:val="0"/>
      <w:jc w:val="left"/>
    </w:pPr>
    <w:rPr>
      <w:sz w:val="18"/>
      <w:szCs w:val="18"/>
    </w:rPr>
  </w:style>
  <w:style w:type="paragraph" w:styleId="ae">
    <w:name w:val="Balloon Text"/>
    <w:basedOn w:val="a"/>
    <w:semiHidden/>
    <w:rPr>
      <w:sz w:val="18"/>
      <w:szCs w:val="18"/>
    </w:rPr>
  </w:style>
  <w:style w:type="paragraph" w:styleId="a6">
    <w:name w:val="annotation text"/>
    <w:basedOn w:val="a"/>
    <w:link w:val="a5"/>
    <w:pPr>
      <w:jc w:val="left"/>
    </w:pPr>
  </w:style>
  <w:style w:type="paragraph" w:styleId="af">
    <w:name w:val="Revision"/>
    <w:uiPriority w:val="99"/>
    <w:unhideWhenUsed/>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2688</Characters>
  <Application>Microsoft Office Word</Application>
  <DocSecurity>4</DocSecurity>
  <Lines>22</Lines>
  <Paragraphs>6</Paragraphs>
  <ScaleCrop>false</ScaleCrop>
  <Company>国联安基金</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国联安基金管理有限公司关于旗下部分基金增加中信证券（浙江）有限责任公司为代销机构的公告</dc:title>
  <dc:subject/>
  <dc:creator>irene.zhuang</dc:creator>
  <cp:keywords/>
  <cp:lastModifiedBy>ZHONGM</cp:lastModifiedBy>
  <cp:revision>2</cp:revision>
  <cp:lastPrinted>2019-07-23T08:29:00Z</cp:lastPrinted>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51BCFE8EE39136A3D1EF7663FC944BFB</vt:lpwstr>
  </property>
</Properties>
</file>