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547" w:rsidRDefault="00EB4454">
      <w:pPr>
        <w:pStyle w:val="pMsoNormal"/>
        <w:shd w:val="clear" w:color="auto" w:fill="FFFFFF"/>
        <w:jc w:val="center"/>
        <w:rPr>
          <w:lang w:val="zh-CN" w:eastAsia="zh-CN"/>
        </w:rPr>
      </w:pPr>
      <w:r>
        <w:rPr>
          <w:rFonts w:ascii="宋体" w:eastAsia="宋体" w:hAnsi="宋体" w:cs="宋体"/>
          <w:b/>
          <w:bCs/>
          <w:sz w:val="30"/>
          <w:szCs w:val="30"/>
          <w:lang w:val="zh-CN" w:eastAsia="zh-CN"/>
        </w:rPr>
        <w:t>关于华宝致远混合型证券投资基金（QDII）</w:t>
      </w:r>
      <w:r>
        <w:rPr>
          <w:rFonts w:ascii="宋体" w:eastAsia="宋体" w:hAnsi="宋体" w:cs="宋体"/>
          <w:b/>
          <w:bCs/>
          <w:sz w:val="30"/>
          <w:szCs w:val="30"/>
          <w:lang w:val="zh-CN" w:eastAsia="zh-CN"/>
        </w:rPr>
        <w:br/>
      </w:r>
      <w:r>
        <w:rPr>
          <w:rFonts w:ascii="宋体" w:eastAsia="宋体" w:hAnsi="宋体" w:cs="宋体"/>
          <w:b/>
          <w:bCs/>
          <w:sz w:val="30"/>
          <w:szCs w:val="30"/>
          <w:lang w:eastAsia="zh-CN"/>
        </w:rPr>
        <w:t>2026</w:t>
      </w:r>
      <w:r>
        <w:rPr>
          <w:rFonts w:ascii="宋体" w:eastAsia="宋体" w:hAnsi="宋体" w:cs="宋体"/>
          <w:b/>
          <w:bCs/>
          <w:sz w:val="30"/>
          <w:szCs w:val="30"/>
          <w:lang w:val="zh-CN" w:eastAsia="zh-CN"/>
        </w:rPr>
        <w:t>年开放日的提示性公告</w:t>
      </w:r>
    </w:p>
    <w:p w:rsidR="0074068E" w:rsidRDefault="0074068E">
      <w:pPr>
        <w:pStyle w:val="pMsoNormal"/>
        <w:shd w:val="clear" w:color="auto" w:fill="FFFFFF"/>
        <w:spacing w:before="150" w:after="150" w:line="360" w:lineRule="auto"/>
        <w:ind w:firstLine="420"/>
        <w:jc w:val="left"/>
        <w:rPr>
          <w:rFonts w:ascii="宋体" w:eastAsia="宋体" w:hAnsi="宋体" w:cs="宋体"/>
          <w:lang w:val="zh-CN" w:eastAsia="zh-CN"/>
        </w:rPr>
      </w:pPr>
    </w:p>
    <w:p w:rsidR="00420547" w:rsidRDefault="00EB4454">
      <w:pPr>
        <w:pStyle w:val="pMsoNormal"/>
        <w:shd w:val="clear" w:color="auto" w:fill="FFFFFF"/>
        <w:spacing w:before="150" w:after="150" w:line="360" w:lineRule="auto"/>
        <w:ind w:firstLine="420"/>
        <w:jc w:val="left"/>
        <w:rPr>
          <w:lang w:val="zh-CN" w:eastAsia="zh-CN"/>
        </w:rPr>
      </w:pPr>
      <w:r>
        <w:rPr>
          <w:rFonts w:ascii="宋体" w:eastAsia="宋体" w:hAnsi="宋体" w:cs="宋体"/>
          <w:lang w:val="zh-CN" w:eastAsia="zh-CN"/>
        </w:rPr>
        <w:t>根据华宝致远混合型证券投资基金（QDII）（以下简称“本基金”）基金合同的规定，投资者在本基金的开放日办理本基金的申购和赎回等业务，具体办理时间为上海证券交易所、深圳证券交易所和本基金投资的主要境外市场同时开放交易的工作日的交易时间（若本基金参与港股通标的股票交易且该工作日为非港股通交易日，则基金管理人可根据实际情况决定本基金是否开放申购、赎回等业务，具体以届时发布的公告为准），但基金管理人根据法律法规、中国证监会的要求或基金合同的规定公告暂停申购、赎回时除外。</w:t>
      </w:r>
    </w:p>
    <w:p w:rsidR="00420547" w:rsidRDefault="00EB4454">
      <w:pPr>
        <w:pStyle w:val="pMsoNormal"/>
        <w:shd w:val="clear" w:color="auto" w:fill="FFFFFF"/>
        <w:spacing w:before="150" w:after="150" w:line="360" w:lineRule="auto"/>
        <w:ind w:firstLine="420"/>
        <w:jc w:val="left"/>
        <w:rPr>
          <w:lang w:val="zh-CN" w:eastAsia="zh-CN"/>
        </w:rPr>
      </w:pPr>
      <w:r>
        <w:rPr>
          <w:rFonts w:ascii="宋体" w:eastAsia="宋体" w:hAnsi="宋体" w:cs="宋体"/>
          <w:lang w:val="zh-CN" w:eastAsia="zh-CN"/>
        </w:rPr>
        <w:t>由于境外交易所的法定假期与</w:t>
      </w:r>
      <w:r w:rsidR="0074068E">
        <w:rPr>
          <w:rFonts w:ascii="宋体" w:eastAsia="宋体" w:hAnsi="宋体" w:cs="宋体"/>
          <w:lang w:val="zh-CN" w:eastAsia="zh-CN"/>
        </w:rPr>
        <w:t>上海证券交易所、深圳证券交易所</w:t>
      </w:r>
      <w:r>
        <w:rPr>
          <w:rFonts w:ascii="宋体" w:eastAsia="宋体" w:hAnsi="宋体" w:cs="宋体"/>
          <w:lang w:val="zh-CN" w:eastAsia="zh-CN"/>
        </w:rPr>
        <w:t>存在差异，为方便投资者办理本基金的申购和赎回等业务，现将</w:t>
      </w:r>
      <w:r>
        <w:rPr>
          <w:rFonts w:ascii="宋体" w:eastAsia="宋体" w:hAnsi="宋体" w:cs="宋体"/>
          <w:lang w:eastAsia="zh-CN"/>
        </w:rPr>
        <w:t>2026</w:t>
      </w:r>
      <w:r>
        <w:rPr>
          <w:rFonts w:ascii="宋体" w:eastAsia="宋体" w:hAnsi="宋体" w:cs="宋体"/>
          <w:lang w:val="zh-CN" w:eastAsia="zh-CN"/>
        </w:rPr>
        <w:t>年</w:t>
      </w:r>
      <w:r w:rsidR="0074068E">
        <w:rPr>
          <w:rFonts w:ascii="宋体" w:eastAsia="宋体" w:hAnsi="宋体" w:cs="宋体"/>
          <w:lang w:val="zh-CN" w:eastAsia="zh-CN"/>
        </w:rPr>
        <w:t>美国纽约证券交易所、美国纳斯达克证券交易所、美国证券交易所</w:t>
      </w:r>
      <w:r>
        <w:rPr>
          <w:rFonts w:ascii="宋体" w:eastAsia="宋体" w:hAnsi="宋体" w:cs="宋体"/>
          <w:lang w:val="zh-CN" w:eastAsia="zh-CN"/>
        </w:rPr>
        <w:t>的法定假期公告如下。该表中所公布的日期与</w:t>
      </w:r>
      <w:r w:rsidR="00841874">
        <w:rPr>
          <w:rFonts w:ascii="宋体" w:eastAsia="宋体" w:hAnsi="宋体" w:cs="宋体"/>
          <w:lang w:val="zh-CN" w:eastAsia="zh-CN"/>
        </w:rPr>
        <w:t>上海证券交易所、深圳证券交易所的休市日</w:t>
      </w:r>
      <w:r>
        <w:rPr>
          <w:rFonts w:ascii="宋体" w:eastAsia="宋体" w:hAnsi="宋体" w:cs="宋体"/>
          <w:lang w:val="zh-CN" w:eastAsia="zh-CN"/>
        </w:rPr>
        <w:t>一起构成本基金</w:t>
      </w:r>
      <w:r>
        <w:rPr>
          <w:rFonts w:ascii="宋体" w:eastAsia="宋体" w:hAnsi="宋体" w:cs="宋体"/>
          <w:lang w:eastAsia="zh-CN"/>
        </w:rPr>
        <w:t>2026</w:t>
      </w:r>
      <w:r>
        <w:rPr>
          <w:rFonts w:ascii="宋体" w:eastAsia="宋体" w:hAnsi="宋体" w:cs="宋体"/>
          <w:lang w:val="zh-CN" w:eastAsia="zh-CN"/>
        </w:rPr>
        <w:t>年的非开放日，期</w:t>
      </w:r>
      <w:bookmarkStart w:id="0" w:name="_GoBack"/>
      <w:bookmarkEnd w:id="0"/>
      <w:r>
        <w:rPr>
          <w:rFonts w:ascii="宋体" w:eastAsia="宋体" w:hAnsi="宋体" w:cs="宋体"/>
          <w:lang w:val="zh-CN" w:eastAsia="zh-CN"/>
        </w:rPr>
        <w:t>间涉及的本基金定期定额业务请参照各代销机构的相关规定。敬请投资者关注。</w:t>
      </w:r>
    </w:p>
    <w:tbl>
      <w:tblPr>
        <w:tblStyle w:val="MsoNormalTable0"/>
        <w:tblW w:w="9405" w:type="dxa"/>
        <w:tblInd w:w="241" w:type="dxa"/>
        <w:tblCellMar>
          <w:left w:w="0" w:type="dxa"/>
          <w:right w:w="0" w:type="dxa"/>
        </w:tblCellMar>
        <w:tblLook w:val="05E0"/>
      </w:tblPr>
      <w:tblGrid>
        <w:gridCol w:w="2352"/>
        <w:gridCol w:w="2351"/>
        <w:gridCol w:w="2687"/>
        <w:gridCol w:w="2015"/>
      </w:tblGrid>
      <w:tr w:rsidR="0074068E" w:rsidTr="0074068E">
        <w:trPr>
          <w:trHeight w:val="270"/>
        </w:trPr>
        <w:tc>
          <w:tcPr>
            <w:tcW w:w="2352" w:type="dxa"/>
            <w:tcBorders>
              <w:top w:val="single" w:sz="8" w:space="0" w:color="000000"/>
              <w:left w:val="single" w:sz="8" w:space="0" w:color="000000"/>
              <w:bottom w:val="single" w:sz="8" w:space="0" w:color="000000"/>
              <w:right w:val="single" w:sz="8" w:space="0" w:color="000000"/>
            </w:tcBorders>
            <w:tcMar>
              <w:top w:w="10" w:type="dxa"/>
              <w:left w:w="118" w:type="dxa"/>
              <w:bottom w:w="10" w:type="dxa"/>
              <w:right w:w="118" w:type="dxa"/>
            </w:tcMar>
            <w:vAlign w:val="center"/>
            <w:hideMark/>
          </w:tcPr>
          <w:p w:rsidR="0074068E" w:rsidRDefault="0074068E" w:rsidP="0074068E">
            <w:pPr>
              <w:pStyle w:val="pMsoNormal"/>
              <w:jc w:val="center"/>
              <w:rPr>
                <w:color w:val="000000"/>
                <w:lang w:val="zh-CN" w:eastAsia="zh-CN"/>
              </w:rPr>
            </w:pPr>
            <w:r>
              <w:rPr>
                <w:rFonts w:ascii="宋体" w:eastAsia="宋体" w:hAnsi="宋体" w:cs="宋体"/>
                <w:color w:val="000000"/>
                <w:lang w:val="zh-CN" w:eastAsia="zh-CN"/>
              </w:rPr>
              <w:t>日期</w:t>
            </w:r>
          </w:p>
        </w:tc>
        <w:tc>
          <w:tcPr>
            <w:tcW w:w="2351" w:type="dxa"/>
            <w:tcBorders>
              <w:top w:val="single" w:sz="8" w:space="0" w:color="000000"/>
              <w:left w:val="single" w:sz="8" w:space="0" w:color="000000"/>
              <w:bottom w:val="single" w:sz="8" w:space="0" w:color="000000"/>
              <w:right w:val="single" w:sz="8" w:space="0" w:color="000000"/>
            </w:tcBorders>
            <w:tcMar>
              <w:top w:w="10" w:type="dxa"/>
              <w:left w:w="118" w:type="dxa"/>
              <w:bottom w:w="10" w:type="dxa"/>
              <w:right w:w="118" w:type="dxa"/>
            </w:tcMar>
            <w:vAlign w:val="center"/>
            <w:hideMark/>
          </w:tcPr>
          <w:p w:rsidR="0074068E" w:rsidRDefault="0074068E" w:rsidP="0074068E">
            <w:pPr>
              <w:pStyle w:val="pMsoNormal"/>
              <w:jc w:val="center"/>
              <w:rPr>
                <w:color w:val="000000"/>
                <w:lang w:val="zh-CN" w:eastAsia="zh-CN"/>
              </w:rPr>
            </w:pPr>
            <w:r>
              <w:rPr>
                <w:rFonts w:ascii="宋体" w:eastAsia="宋体" w:hAnsi="宋体" w:cs="宋体"/>
                <w:color w:val="000000"/>
                <w:lang w:val="zh-CN" w:eastAsia="zh-CN"/>
              </w:rPr>
              <w:t>美国纽约证券交易所</w:t>
            </w:r>
          </w:p>
        </w:tc>
        <w:tc>
          <w:tcPr>
            <w:tcW w:w="2687" w:type="dxa"/>
            <w:tcBorders>
              <w:top w:val="single" w:sz="8" w:space="0" w:color="000000"/>
              <w:left w:val="single" w:sz="8" w:space="0" w:color="000000"/>
              <w:bottom w:val="single" w:sz="8" w:space="0" w:color="000000"/>
              <w:right w:val="single" w:sz="8" w:space="0" w:color="000000"/>
            </w:tcBorders>
            <w:tcMar>
              <w:top w:w="10" w:type="dxa"/>
              <w:left w:w="118" w:type="dxa"/>
              <w:bottom w:w="10" w:type="dxa"/>
              <w:right w:w="118" w:type="dxa"/>
            </w:tcMar>
            <w:vAlign w:val="center"/>
            <w:hideMark/>
          </w:tcPr>
          <w:p w:rsidR="0074068E" w:rsidRDefault="0074068E" w:rsidP="0074068E">
            <w:pPr>
              <w:pStyle w:val="pMsoNormal"/>
              <w:jc w:val="center"/>
              <w:rPr>
                <w:color w:val="000000"/>
                <w:lang w:val="zh-CN" w:eastAsia="zh-CN"/>
              </w:rPr>
            </w:pPr>
            <w:r>
              <w:rPr>
                <w:rFonts w:ascii="宋体" w:eastAsia="宋体" w:hAnsi="宋体" w:cs="宋体"/>
                <w:lang w:val="zh-CN" w:eastAsia="zh-CN"/>
              </w:rPr>
              <w:t>美国纳斯达克证券交易所</w:t>
            </w:r>
          </w:p>
        </w:tc>
        <w:tc>
          <w:tcPr>
            <w:tcW w:w="2015" w:type="dxa"/>
            <w:tcBorders>
              <w:top w:val="single" w:sz="8" w:space="0" w:color="000000"/>
              <w:left w:val="single" w:sz="8" w:space="0" w:color="000000"/>
              <w:bottom w:val="single" w:sz="8" w:space="0" w:color="000000"/>
              <w:right w:val="single" w:sz="8" w:space="0" w:color="000000"/>
            </w:tcBorders>
            <w:tcMar>
              <w:top w:w="10" w:type="dxa"/>
              <w:left w:w="118" w:type="dxa"/>
              <w:bottom w:w="10" w:type="dxa"/>
              <w:right w:w="118" w:type="dxa"/>
            </w:tcMar>
            <w:vAlign w:val="center"/>
            <w:hideMark/>
          </w:tcPr>
          <w:p w:rsidR="0074068E" w:rsidRDefault="0074068E" w:rsidP="0074068E">
            <w:pPr>
              <w:pStyle w:val="pMsoNormal"/>
              <w:jc w:val="center"/>
              <w:rPr>
                <w:color w:val="000000"/>
                <w:lang w:val="zh-CN" w:eastAsia="zh-CN"/>
              </w:rPr>
            </w:pPr>
            <w:r>
              <w:rPr>
                <w:rFonts w:ascii="宋体" w:eastAsia="宋体" w:hAnsi="宋体" w:cs="宋体"/>
                <w:color w:val="000000"/>
                <w:lang w:val="zh-CN" w:eastAsia="zh-CN"/>
              </w:rPr>
              <w:t>美国证券交易所</w:t>
            </w:r>
          </w:p>
        </w:tc>
      </w:tr>
      <w:tr w:rsidR="00420547" w:rsidTr="0074068E">
        <w:trPr>
          <w:trHeight w:val="270"/>
        </w:trPr>
        <w:tc>
          <w:tcPr>
            <w:tcW w:w="2352"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2026-01-19</w:t>
            </w:r>
          </w:p>
        </w:tc>
        <w:tc>
          <w:tcPr>
            <w:tcW w:w="2351"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c>
          <w:tcPr>
            <w:tcW w:w="2687"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c>
          <w:tcPr>
            <w:tcW w:w="2015"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r>
      <w:tr w:rsidR="00420547" w:rsidTr="0074068E">
        <w:trPr>
          <w:trHeight w:val="270"/>
        </w:trPr>
        <w:tc>
          <w:tcPr>
            <w:tcW w:w="2352"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2026-04-03</w:t>
            </w:r>
          </w:p>
        </w:tc>
        <w:tc>
          <w:tcPr>
            <w:tcW w:w="2351"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c>
          <w:tcPr>
            <w:tcW w:w="2687"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c>
          <w:tcPr>
            <w:tcW w:w="2015"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r>
      <w:tr w:rsidR="00420547" w:rsidTr="0074068E">
        <w:trPr>
          <w:trHeight w:val="270"/>
        </w:trPr>
        <w:tc>
          <w:tcPr>
            <w:tcW w:w="2352"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2026-05-25</w:t>
            </w:r>
          </w:p>
        </w:tc>
        <w:tc>
          <w:tcPr>
            <w:tcW w:w="2351"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c>
          <w:tcPr>
            <w:tcW w:w="2687"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c>
          <w:tcPr>
            <w:tcW w:w="2015"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r>
      <w:tr w:rsidR="00420547" w:rsidTr="0074068E">
        <w:trPr>
          <w:trHeight w:val="270"/>
        </w:trPr>
        <w:tc>
          <w:tcPr>
            <w:tcW w:w="2352"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2026-07-03</w:t>
            </w:r>
          </w:p>
        </w:tc>
        <w:tc>
          <w:tcPr>
            <w:tcW w:w="2351"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c>
          <w:tcPr>
            <w:tcW w:w="2687"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c>
          <w:tcPr>
            <w:tcW w:w="2015"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r>
      <w:tr w:rsidR="00420547" w:rsidTr="0074068E">
        <w:trPr>
          <w:trHeight w:val="270"/>
        </w:trPr>
        <w:tc>
          <w:tcPr>
            <w:tcW w:w="2352"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2026-09-07</w:t>
            </w:r>
          </w:p>
        </w:tc>
        <w:tc>
          <w:tcPr>
            <w:tcW w:w="2351"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c>
          <w:tcPr>
            <w:tcW w:w="2687"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c>
          <w:tcPr>
            <w:tcW w:w="2015"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r>
      <w:tr w:rsidR="00420547" w:rsidTr="0074068E">
        <w:trPr>
          <w:trHeight w:val="270"/>
        </w:trPr>
        <w:tc>
          <w:tcPr>
            <w:tcW w:w="2352"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2026-11-26</w:t>
            </w:r>
          </w:p>
        </w:tc>
        <w:tc>
          <w:tcPr>
            <w:tcW w:w="2351"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c>
          <w:tcPr>
            <w:tcW w:w="2687"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c>
          <w:tcPr>
            <w:tcW w:w="2015"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r>
      <w:tr w:rsidR="00420547" w:rsidTr="0074068E">
        <w:trPr>
          <w:trHeight w:val="270"/>
        </w:trPr>
        <w:tc>
          <w:tcPr>
            <w:tcW w:w="2352"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2026-12-25</w:t>
            </w:r>
          </w:p>
        </w:tc>
        <w:tc>
          <w:tcPr>
            <w:tcW w:w="2351"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c>
          <w:tcPr>
            <w:tcW w:w="2687"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c>
          <w:tcPr>
            <w:tcW w:w="2015" w:type="dxa"/>
            <w:tcBorders>
              <w:left w:val="single" w:sz="8" w:space="0" w:color="000000"/>
              <w:bottom w:val="single" w:sz="8" w:space="0" w:color="000000"/>
              <w:right w:val="single" w:sz="8" w:space="0" w:color="000000"/>
            </w:tcBorders>
            <w:tcMar>
              <w:top w:w="5" w:type="dxa"/>
              <w:left w:w="118" w:type="dxa"/>
              <w:bottom w:w="10" w:type="dxa"/>
              <w:right w:w="118" w:type="dxa"/>
            </w:tcMar>
            <w:vAlign w:val="center"/>
            <w:hideMark/>
          </w:tcPr>
          <w:p w:rsidR="00420547" w:rsidRDefault="00EB4454">
            <w:pPr>
              <w:pStyle w:val="pMsoNormal"/>
              <w:jc w:val="center"/>
              <w:rPr>
                <w:color w:val="000000"/>
                <w:lang w:val="zh-CN" w:eastAsia="zh-CN"/>
              </w:rPr>
            </w:pPr>
            <w:r>
              <w:rPr>
                <w:rFonts w:ascii="宋体" w:eastAsia="宋体" w:hAnsi="宋体" w:cs="宋体"/>
                <w:color w:val="000000"/>
              </w:rPr>
              <w:t>*</w:t>
            </w:r>
          </w:p>
        </w:tc>
      </w:tr>
    </w:tbl>
    <w:p w:rsidR="00420547" w:rsidRDefault="00EB4454">
      <w:pPr>
        <w:pStyle w:val="pMsoNormal"/>
        <w:shd w:val="clear" w:color="auto" w:fill="FFFFFF"/>
        <w:jc w:val="left"/>
        <w:rPr>
          <w:lang w:val="zh-CN" w:eastAsia="zh-CN"/>
        </w:rPr>
      </w:pPr>
      <w:r>
        <w:rPr>
          <w:rFonts w:ascii="宋体" w:eastAsia="宋体" w:hAnsi="宋体" w:cs="宋体"/>
          <w:lang w:val="zh-CN" w:eastAsia="zh-CN"/>
        </w:rPr>
        <w:t>注：</w:t>
      </w:r>
      <w:r>
        <w:rPr>
          <w:rFonts w:ascii="宋体" w:eastAsia="宋体" w:hAnsi="宋体" w:cs="宋体"/>
          <w:lang w:eastAsia="zh-CN"/>
        </w:rPr>
        <w:t xml:space="preserve">* </w:t>
      </w:r>
      <w:r>
        <w:rPr>
          <w:rFonts w:ascii="宋体" w:eastAsia="宋体" w:hAnsi="宋体" w:cs="宋体"/>
          <w:lang w:val="zh-CN" w:eastAsia="zh-CN"/>
        </w:rPr>
        <w:t>代表该基金的非开放日。</w:t>
      </w:r>
    </w:p>
    <w:p w:rsidR="00420547" w:rsidRDefault="00EB4454">
      <w:pPr>
        <w:pStyle w:val="pMsoNormal"/>
        <w:shd w:val="clear" w:color="auto" w:fill="FFFFFF"/>
        <w:spacing w:before="150" w:after="150" w:line="360" w:lineRule="auto"/>
        <w:ind w:firstLine="420"/>
        <w:jc w:val="left"/>
        <w:rPr>
          <w:lang w:val="zh-CN" w:eastAsia="zh-CN"/>
        </w:rPr>
      </w:pPr>
      <w:r>
        <w:rPr>
          <w:rFonts w:ascii="宋体" w:eastAsia="宋体" w:hAnsi="宋体" w:cs="宋体"/>
          <w:lang w:val="zh-CN" w:eastAsia="zh-CN"/>
        </w:rPr>
        <w:t>以上节假日信息仅供参考。若基金管理人根据法律法规、中国证监会的要求或基金合同的规定需要另行暂停申购、赎回的，或者本基金的主要证券市场由于不可抗力而临时休市的，届时本基金的开放日请以基金管理人发布的相关公告为准。</w:t>
      </w:r>
    </w:p>
    <w:p w:rsidR="00420547" w:rsidRDefault="00EB4454">
      <w:pPr>
        <w:pStyle w:val="pMsoNormal"/>
        <w:shd w:val="clear" w:color="auto" w:fill="FFFFFF"/>
        <w:spacing w:before="150" w:after="150"/>
        <w:ind w:firstLine="420"/>
        <w:jc w:val="left"/>
        <w:rPr>
          <w:lang w:val="zh-CN" w:eastAsia="zh-CN"/>
        </w:rPr>
      </w:pPr>
      <w:r>
        <w:rPr>
          <w:rFonts w:ascii="宋体" w:eastAsia="宋体" w:hAnsi="宋体" w:cs="宋体"/>
          <w:lang w:val="zh-CN" w:eastAsia="zh-CN"/>
        </w:rPr>
        <w:t>特此公告。</w:t>
      </w:r>
    </w:p>
    <w:p w:rsidR="00420547" w:rsidRDefault="00EB4454">
      <w:pPr>
        <w:pStyle w:val="pMsoNormal"/>
        <w:shd w:val="clear" w:color="auto" w:fill="FFFFFF"/>
        <w:spacing w:before="150" w:after="150"/>
        <w:ind w:firstLine="420"/>
        <w:jc w:val="left"/>
        <w:rPr>
          <w:lang w:val="zh-CN" w:eastAsia="zh-CN"/>
        </w:rPr>
      </w:pPr>
      <w:r>
        <w:rPr>
          <w:rFonts w:ascii="宋体" w:eastAsia="宋体" w:hAnsi="宋体" w:cs="宋体"/>
          <w:lang w:eastAsia="zh-CN"/>
        </w:rPr>
        <w:t>                                       </w:t>
      </w:r>
      <w:r>
        <w:rPr>
          <w:rFonts w:ascii="宋体" w:eastAsia="宋体" w:hAnsi="宋体" w:cs="宋体"/>
          <w:lang w:val="zh-CN" w:eastAsia="zh-CN"/>
        </w:rPr>
        <w:t>华宝基金管理有限公司</w:t>
      </w:r>
    </w:p>
    <w:p w:rsidR="00420547" w:rsidRDefault="00EB4454">
      <w:pPr>
        <w:pStyle w:val="pMsoNormal"/>
        <w:shd w:val="clear" w:color="auto" w:fill="FFFFFF"/>
        <w:spacing w:before="150" w:after="150"/>
        <w:ind w:firstLine="420"/>
        <w:jc w:val="left"/>
        <w:rPr>
          <w:lang w:val="zh-CN" w:eastAsia="zh-CN"/>
        </w:rPr>
      </w:pPr>
      <w:r>
        <w:rPr>
          <w:rFonts w:ascii="宋体" w:eastAsia="宋体" w:hAnsi="宋体" w:cs="宋体"/>
          <w:lang w:eastAsia="zh-CN"/>
        </w:rPr>
        <w:t>                                          </w:t>
      </w:r>
      <w:r>
        <w:rPr>
          <w:rFonts w:ascii="宋体" w:eastAsia="宋体" w:hAnsi="宋体" w:cs="宋体"/>
        </w:rPr>
        <w:t>2025年12月18日</w:t>
      </w:r>
    </w:p>
    <w:p w:rsidR="00A77B3E" w:rsidRDefault="00A77B3E"/>
    <w:sectPr w:rsidR="00A77B3E" w:rsidSect="00B11A2A">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454" w:rsidRDefault="00EB4454">
      <w:r>
        <w:separator/>
      </w:r>
    </w:p>
  </w:endnote>
  <w:endnote w:type="continuationSeparator" w:id="0">
    <w:p w:rsidR="00EB4454" w:rsidRDefault="00EB44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547" w:rsidRDefault="00B11A2A">
    <w:pPr>
      <w:jc w:val="center"/>
      <w:rPr>
        <w:sz w:val="20"/>
      </w:rPr>
    </w:pPr>
    <w:r>
      <w:rPr>
        <w:sz w:val="20"/>
      </w:rPr>
      <w:fldChar w:fldCharType="begin"/>
    </w:r>
    <w:r w:rsidR="00EB4454">
      <w:rPr>
        <w:rFonts w:ascii="宋体" w:eastAsia="宋体" w:hAnsi="宋体" w:cs="宋体"/>
        <w:sz w:val="20"/>
      </w:rPr>
      <w:instrText>PAGE</w:instrText>
    </w:r>
    <w:r>
      <w:rPr>
        <w:sz w:val="20"/>
      </w:rPr>
      <w:fldChar w:fldCharType="separate"/>
    </w:r>
    <w:r w:rsidR="008064D4">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454" w:rsidRDefault="00EB4454">
      <w:r>
        <w:separator/>
      </w:r>
    </w:p>
  </w:footnote>
  <w:footnote w:type="continuationSeparator" w:id="0">
    <w:p w:rsidR="00EB4454" w:rsidRDefault="00EB44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C6213"/>
    <w:rsid w:val="00420547"/>
    <w:rsid w:val="0074068E"/>
    <w:rsid w:val="008064D4"/>
    <w:rsid w:val="00841874"/>
    <w:rsid w:val="00A77B3E"/>
    <w:rsid w:val="00B11A2A"/>
    <w:rsid w:val="00CA2A55"/>
    <w:rsid w:val="00EB44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A2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ivWordSection1">
    <w:name w:val="div_WordSection1"/>
    <w:basedOn w:val="a"/>
    <w:rsid w:val="00B11A2A"/>
  </w:style>
  <w:style w:type="paragraph" w:customStyle="1" w:styleId="pMsoNormal">
    <w:name w:val="p_MsoNormal"/>
    <w:basedOn w:val="p"/>
    <w:rsid w:val="00B11A2A"/>
    <w:pPr>
      <w:jc w:val="both"/>
    </w:pPr>
    <w:rPr>
      <w:rFonts w:ascii="Calibri" w:eastAsia="Calibri" w:hAnsi="Calibri" w:cs="Calibri"/>
      <w:sz w:val="21"/>
      <w:szCs w:val="21"/>
    </w:rPr>
  </w:style>
  <w:style w:type="paragraph" w:customStyle="1" w:styleId="p">
    <w:name w:val="p"/>
    <w:basedOn w:val="a"/>
    <w:rsid w:val="00B11A2A"/>
    <w:rPr>
      <w:rFonts w:ascii="宋体" w:eastAsia="宋体" w:hAnsi="宋体" w:cs="宋体"/>
    </w:rPr>
  </w:style>
  <w:style w:type="table" w:customStyle="1" w:styleId="MsoNormalTable0">
    <w:name w:val="MsoNormalTable"/>
    <w:basedOn w:val="a1"/>
    <w:rsid w:val="00B11A2A"/>
    <w:tblPr>
      <w:tblInd w:w="0" w:type="dxa"/>
      <w:tblCellMar>
        <w:top w:w="0" w:type="dxa"/>
        <w:left w:w="108" w:type="dxa"/>
        <w:bottom w:w="0" w:type="dxa"/>
        <w:right w:w="108" w:type="dxa"/>
      </w:tblCellMar>
    </w:tblPr>
  </w:style>
  <w:style w:type="paragraph" w:styleId="a3">
    <w:name w:val="header"/>
    <w:basedOn w:val="a"/>
    <w:link w:val="Char"/>
    <w:unhideWhenUsed/>
    <w:rsid w:val="007406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4068E"/>
    <w:rPr>
      <w:sz w:val="18"/>
      <w:szCs w:val="18"/>
    </w:rPr>
  </w:style>
  <w:style w:type="paragraph" w:styleId="a4">
    <w:name w:val="footer"/>
    <w:basedOn w:val="a"/>
    <w:link w:val="Char0"/>
    <w:unhideWhenUsed/>
    <w:rsid w:val="0074068E"/>
    <w:pPr>
      <w:tabs>
        <w:tab w:val="center" w:pos="4153"/>
        <w:tab w:val="right" w:pos="8306"/>
      </w:tabs>
      <w:snapToGrid w:val="0"/>
    </w:pPr>
    <w:rPr>
      <w:sz w:val="18"/>
      <w:szCs w:val="18"/>
    </w:rPr>
  </w:style>
  <w:style w:type="character" w:customStyle="1" w:styleId="Char0">
    <w:name w:val="页脚 Char"/>
    <w:basedOn w:val="a0"/>
    <w:link w:val="a4"/>
    <w:rsid w:val="0074068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2025-12-17T16:00:00Z</dcterms:created>
  <dcterms:modified xsi:type="dcterms:W3CDTF">2025-12-17T16:00:00Z</dcterms:modified>
</cp:coreProperties>
</file>