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5E" w:rsidRDefault="00955680">
      <w:pPr>
        <w:pStyle w:val="pMsoNormal"/>
        <w:shd w:val="clear" w:color="auto" w:fill="FFFFFF"/>
        <w:jc w:val="center"/>
        <w:rPr>
          <w:lang w:val="zh-CN"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val="zh-CN" w:eastAsia="zh-CN"/>
        </w:rPr>
        <w:t>关于华宝海外科技股票型证券投资基金（QDII-LOF）</w:t>
      </w:r>
      <w:r>
        <w:rPr>
          <w:rFonts w:ascii="宋体" w:eastAsia="宋体" w:hAnsi="宋体" w:cs="宋体"/>
          <w:b/>
          <w:bCs/>
          <w:sz w:val="30"/>
          <w:szCs w:val="30"/>
          <w:lang w:val="zh-CN" w:eastAsia="zh-CN"/>
        </w:rPr>
        <w:br/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2026</w:t>
      </w:r>
      <w:r>
        <w:rPr>
          <w:rFonts w:ascii="宋体" w:eastAsia="宋体" w:hAnsi="宋体" w:cs="宋体"/>
          <w:b/>
          <w:bCs/>
          <w:sz w:val="30"/>
          <w:szCs w:val="30"/>
          <w:lang w:val="zh-CN" w:eastAsia="zh-CN"/>
        </w:rPr>
        <w:t>年开放日的提示性公告</w:t>
      </w:r>
    </w:p>
    <w:p w:rsidR="00303A60" w:rsidRDefault="00303A60">
      <w:pPr>
        <w:pStyle w:val="pMsoNormal"/>
        <w:shd w:val="clear" w:color="auto" w:fill="FFFFFF"/>
        <w:spacing w:before="150" w:after="150" w:line="360" w:lineRule="auto"/>
        <w:ind w:firstLine="420"/>
        <w:jc w:val="left"/>
        <w:rPr>
          <w:rFonts w:ascii="宋体" w:eastAsia="宋体" w:hAnsi="宋体" w:cs="宋体"/>
          <w:lang w:val="zh-CN" w:eastAsia="zh-CN"/>
        </w:rPr>
      </w:pPr>
    </w:p>
    <w:p w:rsidR="00A1385E" w:rsidRDefault="00955680">
      <w:pPr>
        <w:pStyle w:val="pMsoNormal"/>
        <w:shd w:val="clear" w:color="auto" w:fill="FFFFFF"/>
        <w:spacing w:before="150" w:after="150"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根据华宝海外科技股票型证券投资基金（QDII-LOF）（以下简称“本基金”）基金合同的规定，投资者在本基金的开放日办理本基金的申购和赎回等业务，具体办理时间为上海证券交易所、美国主要交易场所及香港联合交易所共同交易日的交易时间，但基金管理人根据法律法规、中国证监会的要求或基金合同的规定公告暂停申购、赎回时除外。如上海证券交易所、美国主要交易场所及香港联合交易所遇节假日、休市或暂停交易，基金管理人将决定本基金是否暂停申购或赎回。</w:t>
      </w:r>
    </w:p>
    <w:p w:rsidR="00A1385E" w:rsidRDefault="00955680">
      <w:pPr>
        <w:pStyle w:val="pMsoNormal"/>
        <w:shd w:val="clear" w:color="auto" w:fill="FFFFFF"/>
        <w:spacing w:before="150" w:after="150"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由于境外交易所的法定假期与</w:t>
      </w:r>
      <w:r w:rsidR="00303A60">
        <w:rPr>
          <w:rFonts w:ascii="宋体" w:eastAsia="宋体" w:hAnsi="宋体" w:cs="宋体"/>
          <w:lang w:val="zh-CN" w:eastAsia="zh-CN"/>
        </w:rPr>
        <w:t>上海证券交易所</w:t>
      </w:r>
      <w:r>
        <w:rPr>
          <w:rFonts w:ascii="宋体" w:eastAsia="宋体" w:hAnsi="宋体" w:cs="宋体"/>
          <w:lang w:val="zh-CN" w:eastAsia="zh-CN"/>
        </w:rPr>
        <w:t>存在差异，为方便投资者办理本基金的申购和赎回等业务，现将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val="zh-CN" w:eastAsia="zh-CN"/>
        </w:rPr>
        <w:t>年</w:t>
      </w:r>
      <w:r w:rsidR="00D9463E">
        <w:rPr>
          <w:rFonts w:ascii="宋体" w:eastAsia="宋体" w:hAnsi="宋体" w:cs="宋体"/>
          <w:lang w:val="zh-CN" w:eastAsia="zh-CN"/>
        </w:rPr>
        <w:t>美国纽约证券交易所、美国纳斯达克证券交易所、美国证券交易所</w:t>
      </w:r>
      <w:r>
        <w:rPr>
          <w:rFonts w:ascii="宋体" w:eastAsia="宋体" w:hAnsi="宋体" w:cs="宋体"/>
          <w:lang w:val="zh-CN" w:eastAsia="zh-CN"/>
        </w:rPr>
        <w:t>的法定假期公告如下。该表中所公布的日期与</w:t>
      </w:r>
      <w:r w:rsidR="00D9463E">
        <w:rPr>
          <w:rFonts w:ascii="宋体" w:eastAsia="宋体" w:hAnsi="宋体" w:cs="宋体"/>
          <w:lang w:val="zh-CN" w:eastAsia="zh-CN"/>
        </w:rPr>
        <w:t>上海证券交易所休市日</w:t>
      </w:r>
      <w:r>
        <w:rPr>
          <w:rFonts w:ascii="宋体" w:eastAsia="宋体" w:hAnsi="宋体" w:cs="宋体"/>
          <w:lang w:val="zh-CN" w:eastAsia="zh-CN"/>
        </w:rPr>
        <w:t>一起构成本基金</w:t>
      </w:r>
      <w:r>
        <w:rPr>
          <w:rFonts w:ascii="宋体" w:eastAsia="宋体" w:hAnsi="宋体" w:cs="宋体"/>
          <w:lang w:eastAsia="zh-CN"/>
        </w:rPr>
        <w:t>2026</w:t>
      </w:r>
      <w:r>
        <w:rPr>
          <w:rFonts w:ascii="宋体" w:eastAsia="宋体" w:hAnsi="宋体" w:cs="宋体"/>
          <w:lang w:val="zh-CN" w:eastAsia="zh-CN"/>
        </w:rPr>
        <w:t>年的非开放日，期间涉及的本基金定期定额业务请参照各代销机构的相关规定。敬请投资者关注。</w:t>
      </w:r>
    </w:p>
    <w:tbl>
      <w:tblPr>
        <w:tblStyle w:val="MsoNormalTable0"/>
        <w:tblW w:w="9241" w:type="dxa"/>
        <w:tblInd w:w="241" w:type="dxa"/>
        <w:tblCellMar>
          <w:left w:w="0" w:type="dxa"/>
          <w:right w:w="0" w:type="dxa"/>
        </w:tblCellMar>
        <w:tblLook w:val="05E0"/>
      </w:tblPr>
      <w:tblGrid>
        <w:gridCol w:w="2311"/>
        <w:gridCol w:w="2310"/>
        <w:gridCol w:w="2627"/>
        <w:gridCol w:w="1993"/>
      </w:tblGrid>
      <w:tr w:rsidR="00B626E2" w:rsidTr="00B626E2">
        <w:trPr>
          <w:trHeight w:val="274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B626E2" w:rsidRDefault="00B626E2" w:rsidP="00B626E2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日期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B626E2" w:rsidRDefault="00B626E2" w:rsidP="00B626E2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美国纽约证券交易所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B626E2" w:rsidRDefault="00B626E2" w:rsidP="00B626E2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美国</w:t>
            </w:r>
            <w:r>
              <w:rPr>
                <w:rFonts w:ascii="宋体" w:eastAsia="宋体" w:hAnsi="宋体" w:cs="宋体"/>
                <w:lang w:val="zh-CN" w:eastAsia="zh-CN"/>
              </w:rPr>
              <w:t>纳斯达克证券交易所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B626E2" w:rsidRDefault="00B626E2" w:rsidP="00B626E2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美国证券交易所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2026-01-19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2026-04-03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2026-05-25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2026-07-03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2026-09-07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2026-11-26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  <w:tr w:rsidR="00A1385E" w:rsidTr="00B626E2">
        <w:trPr>
          <w:trHeight w:val="274"/>
        </w:trPr>
        <w:tc>
          <w:tcPr>
            <w:tcW w:w="23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2026-12-25</w:t>
            </w:r>
          </w:p>
        </w:tc>
        <w:tc>
          <w:tcPr>
            <w:tcW w:w="23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2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  <w:tc>
          <w:tcPr>
            <w:tcW w:w="1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A1385E" w:rsidRDefault="00955680">
            <w:pPr>
              <w:pStyle w:val="pMsoNormal"/>
              <w:jc w:val="center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*</w:t>
            </w:r>
          </w:p>
        </w:tc>
      </w:tr>
    </w:tbl>
    <w:p w:rsidR="00A1385E" w:rsidRDefault="00955680">
      <w:pPr>
        <w:pStyle w:val="pMsoNormal"/>
        <w:shd w:val="clear" w:color="auto" w:fill="FFFFFF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注：</w:t>
      </w:r>
      <w:r>
        <w:rPr>
          <w:rFonts w:ascii="宋体" w:eastAsia="宋体" w:hAnsi="宋体" w:cs="宋体"/>
          <w:lang w:eastAsia="zh-CN"/>
        </w:rPr>
        <w:t xml:space="preserve">* </w:t>
      </w:r>
      <w:r>
        <w:rPr>
          <w:rFonts w:ascii="宋体" w:eastAsia="宋体" w:hAnsi="宋体" w:cs="宋体"/>
          <w:lang w:val="zh-CN" w:eastAsia="zh-CN"/>
        </w:rPr>
        <w:t>代表该基金的非开放日。</w:t>
      </w:r>
    </w:p>
    <w:p w:rsidR="00A1385E" w:rsidRDefault="00955680">
      <w:pPr>
        <w:pStyle w:val="pMsoNormal"/>
        <w:shd w:val="clear" w:color="auto" w:fill="FFFFFF"/>
        <w:spacing w:before="150" w:after="150"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以上节假日信息仅供参考。若基金管理人根据法律法规、中国证监会的要求或基金合同的规定需要另行暂停申购、赎回的，或者本基金的主要证券市场由于不可抗力而临时休市的，届时本基金的开放日请以基金管理人发布的相关公告为准。</w:t>
      </w:r>
    </w:p>
    <w:p w:rsidR="00A1385E" w:rsidRDefault="00955680">
      <w:pPr>
        <w:pStyle w:val="pMsoNormal"/>
        <w:shd w:val="clear" w:color="auto" w:fill="FFFFFF"/>
        <w:spacing w:before="150" w:after="150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特此公告。</w:t>
      </w:r>
    </w:p>
    <w:p w:rsidR="00A1385E" w:rsidRDefault="00955680">
      <w:pPr>
        <w:pStyle w:val="pMsoNormal"/>
        <w:shd w:val="clear" w:color="auto" w:fill="FFFFFF"/>
        <w:spacing w:before="150" w:after="150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                                      </w:t>
      </w:r>
      <w:r>
        <w:rPr>
          <w:rFonts w:ascii="宋体" w:eastAsia="宋体" w:hAnsi="宋体" w:cs="宋体"/>
          <w:lang w:val="zh-CN" w:eastAsia="zh-CN"/>
        </w:rPr>
        <w:t>华宝基金管理有限公司</w:t>
      </w:r>
    </w:p>
    <w:p w:rsidR="00A1385E" w:rsidRDefault="00955680">
      <w:pPr>
        <w:pStyle w:val="pMsoNormal"/>
        <w:shd w:val="clear" w:color="auto" w:fill="FFFFFF"/>
        <w:spacing w:before="150" w:after="150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                                         </w:t>
      </w:r>
      <w:r>
        <w:rPr>
          <w:rFonts w:ascii="宋体" w:eastAsia="宋体" w:hAnsi="宋体" w:cs="宋体"/>
        </w:rPr>
        <w:t>2025年12月18日</w:t>
      </w:r>
    </w:p>
    <w:p w:rsidR="00A77B3E" w:rsidRDefault="00A77B3E"/>
    <w:sectPr w:rsidR="00A77B3E" w:rsidSect="00D06B79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680" w:rsidRDefault="00955680">
      <w:r>
        <w:separator/>
      </w:r>
    </w:p>
  </w:endnote>
  <w:endnote w:type="continuationSeparator" w:id="0">
    <w:p w:rsidR="00955680" w:rsidRDefault="00955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5E" w:rsidRDefault="00D06B79">
    <w:pPr>
      <w:jc w:val="center"/>
      <w:rPr>
        <w:sz w:val="20"/>
      </w:rPr>
    </w:pPr>
    <w:r>
      <w:rPr>
        <w:sz w:val="20"/>
      </w:rPr>
      <w:fldChar w:fldCharType="begin"/>
    </w:r>
    <w:r w:rsidR="00955680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3D01CF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680" w:rsidRDefault="00955680">
      <w:r>
        <w:separator/>
      </w:r>
    </w:p>
  </w:footnote>
  <w:footnote w:type="continuationSeparator" w:id="0">
    <w:p w:rsidR="00955680" w:rsidRDefault="009556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03A60"/>
    <w:rsid w:val="003D01CF"/>
    <w:rsid w:val="007A24A8"/>
    <w:rsid w:val="00825863"/>
    <w:rsid w:val="00955680"/>
    <w:rsid w:val="00A1385E"/>
    <w:rsid w:val="00A77B3E"/>
    <w:rsid w:val="00B626E2"/>
    <w:rsid w:val="00CA2A55"/>
    <w:rsid w:val="00D06B79"/>
    <w:rsid w:val="00D9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D06B79"/>
  </w:style>
  <w:style w:type="paragraph" w:customStyle="1" w:styleId="pMsoNormal">
    <w:name w:val="p_MsoNormal"/>
    <w:basedOn w:val="p"/>
    <w:rsid w:val="00D06B79"/>
    <w:pPr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p">
    <w:name w:val="p"/>
    <w:basedOn w:val="a"/>
    <w:rsid w:val="00D06B79"/>
    <w:rPr>
      <w:rFonts w:ascii="宋体" w:eastAsia="宋体" w:hAnsi="宋体" w:cs="宋体"/>
    </w:rPr>
  </w:style>
  <w:style w:type="table" w:customStyle="1" w:styleId="MsoNormalTable0">
    <w:name w:val="MsoNormalTable"/>
    <w:basedOn w:val="a1"/>
    <w:rsid w:val="00D06B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nhideWhenUsed/>
    <w:rsid w:val="0030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3A60"/>
    <w:rPr>
      <w:sz w:val="18"/>
      <w:szCs w:val="18"/>
    </w:rPr>
  </w:style>
  <w:style w:type="paragraph" w:styleId="a4">
    <w:name w:val="footer"/>
    <w:basedOn w:val="a"/>
    <w:link w:val="Char0"/>
    <w:unhideWhenUsed/>
    <w:rsid w:val="00303A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3A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2025-12-17T16:00:00Z</dcterms:created>
  <dcterms:modified xsi:type="dcterms:W3CDTF">2025-12-17T16:00:00Z</dcterms:modified>
</cp:coreProperties>
</file>