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521935">
      <w:pPr>
        <w:spacing w:line="276" w:lineRule="auto"/>
        <w:jc w:val="center"/>
        <w:rPr>
          <w:b/>
          <w:sz w:val="24"/>
          <w:szCs w:val="24"/>
        </w:rPr>
      </w:pPr>
    </w:p>
    <w:p w:rsidR="00000000" w:rsidRDefault="00521935">
      <w:pPr>
        <w:spacing w:line="276" w:lineRule="auto"/>
        <w:jc w:val="center"/>
        <w:rPr>
          <w:rFonts w:hint="eastAsia"/>
          <w:b/>
          <w:sz w:val="24"/>
          <w:szCs w:val="24"/>
        </w:rPr>
      </w:pPr>
      <w:r>
        <w:rPr>
          <w:rFonts w:hint="eastAsia"/>
          <w:b/>
          <w:sz w:val="24"/>
          <w:szCs w:val="24"/>
        </w:rPr>
        <w:t>诺安聚利债券型证券投资基金</w:t>
      </w:r>
    </w:p>
    <w:p w:rsidR="00000000" w:rsidRDefault="00521935">
      <w:pPr>
        <w:spacing w:line="276" w:lineRule="auto"/>
        <w:jc w:val="center"/>
        <w:rPr>
          <w:b/>
          <w:sz w:val="24"/>
          <w:szCs w:val="24"/>
        </w:rPr>
      </w:pPr>
      <w:r>
        <w:rPr>
          <w:rFonts w:hint="eastAsia"/>
          <w:b/>
          <w:sz w:val="24"/>
          <w:szCs w:val="24"/>
        </w:rPr>
        <w:t>恢复</w:t>
      </w:r>
      <w:r>
        <w:rPr>
          <w:rFonts w:hint="eastAsia"/>
          <w:b/>
          <w:sz w:val="24"/>
          <w:szCs w:val="24"/>
        </w:rPr>
        <w:t>办理</w:t>
      </w:r>
      <w:r>
        <w:rPr>
          <w:rFonts w:hint="eastAsia"/>
          <w:b/>
          <w:sz w:val="24"/>
          <w:szCs w:val="24"/>
        </w:rPr>
        <w:t>个人投资者大额申购、转换转入及定投业务的公告</w:t>
      </w:r>
    </w:p>
    <w:p w:rsidR="00000000" w:rsidRDefault="00521935">
      <w:pPr>
        <w:spacing w:line="276" w:lineRule="auto"/>
        <w:jc w:val="center"/>
        <w:rPr>
          <w:b/>
          <w:sz w:val="24"/>
          <w:szCs w:val="24"/>
        </w:rPr>
      </w:pPr>
    </w:p>
    <w:p w:rsidR="00000000" w:rsidRDefault="00521935">
      <w:pPr>
        <w:spacing w:line="276" w:lineRule="auto"/>
        <w:jc w:val="center"/>
        <w:rPr>
          <w:b/>
          <w:sz w:val="24"/>
          <w:szCs w:val="24"/>
        </w:rPr>
      </w:pPr>
      <w:r>
        <w:rPr>
          <w:b/>
          <w:sz w:val="24"/>
          <w:szCs w:val="24"/>
        </w:rPr>
        <w:t>公告送出日期：</w:t>
      </w:r>
      <w:r>
        <w:rPr>
          <w:b/>
          <w:sz w:val="24"/>
          <w:szCs w:val="24"/>
        </w:rPr>
        <w:t>202</w:t>
      </w:r>
      <w:r>
        <w:rPr>
          <w:rFonts w:hint="eastAsia"/>
          <w:b/>
          <w:sz w:val="24"/>
          <w:szCs w:val="24"/>
        </w:rPr>
        <w:t>5</w:t>
      </w:r>
      <w:r>
        <w:rPr>
          <w:b/>
          <w:sz w:val="24"/>
          <w:szCs w:val="24"/>
        </w:rPr>
        <w:t>年</w:t>
      </w:r>
      <w:r>
        <w:rPr>
          <w:rFonts w:hint="eastAsia"/>
          <w:b/>
          <w:sz w:val="24"/>
          <w:szCs w:val="24"/>
        </w:rPr>
        <w:t>1</w:t>
      </w:r>
      <w:r>
        <w:rPr>
          <w:rFonts w:hint="eastAsia"/>
          <w:b/>
          <w:sz w:val="24"/>
          <w:szCs w:val="24"/>
        </w:rPr>
        <w:t>2</w:t>
      </w:r>
      <w:r>
        <w:rPr>
          <w:b/>
          <w:sz w:val="24"/>
          <w:szCs w:val="24"/>
        </w:rPr>
        <w:t>月</w:t>
      </w:r>
      <w:r>
        <w:rPr>
          <w:rFonts w:hint="eastAsia"/>
          <w:b/>
          <w:sz w:val="24"/>
          <w:szCs w:val="24"/>
        </w:rPr>
        <w:t>1</w:t>
      </w:r>
      <w:r>
        <w:rPr>
          <w:rFonts w:hint="eastAsia"/>
          <w:b/>
          <w:sz w:val="24"/>
          <w:szCs w:val="24"/>
        </w:rPr>
        <w:t>8</w:t>
      </w:r>
      <w:r>
        <w:rPr>
          <w:b/>
          <w:sz w:val="24"/>
          <w:szCs w:val="24"/>
        </w:rPr>
        <w:t>日</w:t>
      </w:r>
    </w:p>
    <w:p w:rsidR="00000000" w:rsidRDefault="00521935">
      <w:pPr>
        <w:spacing w:line="276" w:lineRule="auto"/>
        <w:jc w:val="center"/>
        <w:rPr>
          <w:b/>
          <w:color w:val="000000"/>
          <w:kern w:val="0"/>
          <w:szCs w:val="21"/>
        </w:rPr>
      </w:pPr>
    </w:p>
    <w:p w:rsidR="00000000" w:rsidRDefault="00521935">
      <w:pPr>
        <w:spacing w:line="276" w:lineRule="auto"/>
        <w:jc w:val="left"/>
        <w:rPr>
          <w:b/>
          <w:color w:val="000000"/>
          <w:kern w:val="0"/>
          <w:szCs w:val="21"/>
        </w:rPr>
      </w:pPr>
      <w:r>
        <w:rPr>
          <w:b/>
          <w:color w:val="000000"/>
          <w:kern w:val="0"/>
          <w:szCs w:val="21"/>
        </w:rPr>
        <w:t>1</w:t>
      </w:r>
      <w:r>
        <w:rPr>
          <w:rFonts w:hint="eastAsia"/>
          <w:b/>
          <w:color w:val="000000"/>
          <w:kern w:val="0"/>
          <w:szCs w:val="21"/>
        </w:rPr>
        <w:t xml:space="preserve"> </w:t>
      </w:r>
      <w:r>
        <w:rPr>
          <w:rFonts w:hAnsi="宋体"/>
          <w:b/>
          <w:color w:val="000000"/>
          <w:kern w:val="0"/>
          <w:szCs w:val="21"/>
        </w:rPr>
        <w:t>公告基本信息</w:t>
      </w:r>
    </w:p>
    <w:tbl>
      <w:tblP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959"/>
        <w:gridCol w:w="2185"/>
        <w:gridCol w:w="2681"/>
        <w:gridCol w:w="2697"/>
      </w:tblGrid>
      <w:tr w:rsidR="00000000">
        <w:tc>
          <w:tcPr>
            <w:tcW w:w="3144" w:type="dxa"/>
            <w:gridSpan w:val="2"/>
            <w:vAlign w:val="center"/>
          </w:tcPr>
          <w:p w:rsidR="00000000" w:rsidRDefault="00521935">
            <w:pPr>
              <w:spacing w:line="276" w:lineRule="auto"/>
              <w:rPr>
                <w:rFonts w:eastAsia="方正仿宋简体"/>
                <w:color w:val="000000"/>
                <w:szCs w:val="21"/>
              </w:rPr>
            </w:pPr>
            <w:r>
              <w:rPr>
                <w:color w:val="000000"/>
                <w:szCs w:val="21"/>
              </w:rPr>
              <w:t>基金名称</w:t>
            </w:r>
          </w:p>
        </w:tc>
        <w:tc>
          <w:tcPr>
            <w:tcW w:w="5378" w:type="dxa"/>
            <w:gridSpan w:val="2"/>
            <w:vAlign w:val="center"/>
          </w:tcPr>
          <w:p w:rsidR="00000000" w:rsidRDefault="00521935">
            <w:pPr>
              <w:rPr>
                <w:rFonts w:hint="eastAsia"/>
                <w:szCs w:val="21"/>
              </w:rPr>
            </w:pPr>
            <w:r>
              <w:rPr>
                <w:szCs w:val="21"/>
              </w:rPr>
              <w:t>诺安聚利债券型证券投资基金</w:t>
            </w:r>
          </w:p>
        </w:tc>
      </w:tr>
      <w:tr w:rsidR="00000000">
        <w:tc>
          <w:tcPr>
            <w:tcW w:w="3144" w:type="dxa"/>
            <w:gridSpan w:val="2"/>
            <w:vAlign w:val="center"/>
          </w:tcPr>
          <w:p w:rsidR="00000000" w:rsidRDefault="00521935">
            <w:pPr>
              <w:spacing w:line="276" w:lineRule="auto"/>
              <w:rPr>
                <w:rFonts w:eastAsia="方正仿宋简体"/>
                <w:color w:val="000000"/>
                <w:kern w:val="0"/>
                <w:szCs w:val="21"/>
              </w:rPr>
            </w:pPr>
            <w:r>
              <w:rPr>
                <w:color w:val="000000"/>
                <w:szCs w:val="21"/>
              </w:rPr>
              <w:t>基金简称</w:t>
            </w:r>
          </w:p>
        </w:tc>
        <w:tc>
          <w:tcPr>
            <w:tcW w:w="5378" w:type="dxa"/>
            <w:gridSpan w:val="2"/>
            <w:vAlign w:val="center"/>
          </w:tcPr>
          <w:p w:rsidR="00000000" w:rsidRDefault="00521935">
            <w:pPr>
              <w:rPr>
                <w:szCs w:val="21"/>
              </w:rPr>
            </w:pPr>
            <w:r>
              <w:rPr>
                <w:szCs w:val="21"/>
              </w:rPr>
              <w:t>诺安聚利债券</w:t>
            </w:r>
          </w:p>
        </w:tc>
      </w:tr>
      <w:tr w:rsidR="00000000">
        <w:tc>
          <w:tcPr>
            <w:tcW w:w="3144" w:type="dxa"/>
            <w:gridSpan w:val="2"/>
            <w:vAlign w:val="center"/>
          </w:tcPr>
          <w:p w:rsidR="00000000" w:rsidRDefault="00521935">
            <w:pPr>
              <w:spacing w:line="276" w:lineRule="auto"/>
              <w:rPr>
                <w:rFonts w:eastAsia="方正仿宋简体"/>
                <w:color w:val="000000"/>
                <w:kern w:val="0"/>
                <w:szCs w:val="21"/>
              </w:rPr>
            </w:pPr>
            <w:r>
              <w:rPr>
                <w:color w:val="000000"/>
                <w:szCs w:val="21"/>
              </w:rPr>
              <w:t>基金主代码</w:t>
            </w:r>
          </w:p>
        </w:tc>
        <w:tc>
          <w:tcPr>
            <w:tcW w:w="5378" w:type="dxa"/>
            <w:gridSpan w:val="2"/>
            <w:vAlign w:val="center"/>
          </w:tcPr>
          <w:p w:rsidR="00000000" w:rsidRDefault="00521935">
            <w:pPr>
              <w:rPr>
                <w:szCs w:val="21"/>
              </w:rPr>
            </w:pPr>
            <w:r>
              <w:rPr>
                <w:szCs w:val="21"/>
              </w:rPr>
              <w:t>000736</w:t>
            </w:r>
          </w:p>
        </w:tc>
      </w:tr>
      <w:tr w:rsidR="00000000">
        <w:tc>
          <w:tcPr>
            <w:tcW w:w="3144" w:type="dxa"/>
            <w:gridSpan w:val="2"/>
            <w:vAlign w:val="center"/>
          </w:tcPr>
          <w:p w:rsidR="00000000" w:rsidRDefault="00521935">
            <w:pPr>
              <w:spacing w:line="276" w:lineRule="auto"/>
              <w:rPr>
                <w:rFonts w:eastAsia="方正仿宋简体"/>
                <w:color w:val="000000"/>
                <w:kern w:val="0"/>
                <w:szCs w:val="21"/>
              </w:rPr>
            </w:pPr>
            <w:r>
              <w:rPr>
                <w:color w:val="000000"/>
                <w:szCs w:val="21"/>
              </w:rPr>
              <w:t>基金管理人名称</w:t>
            </w:r>
          </w:p>
        </w:tc>
        <w:tc>
          <w:tcPr>
            <w:tcW w:w="5378" w:type="dxa"/>
            <w:gridSpan w:val="2"/>
            <w:vAlign w:val="center"/>
          </w:tcPr>
          <w:p w:rsidR="00000000" w:rsidRDefault="00521935">
            <w:pPr>
              <w:spacing w:line="276" w:lineRule="auto"/>
              <w:rPr>
                <w:szCs w:val="21"/>
              </w:rPr>
            </w:pPr>
            <w:r>
              <w:rPr>
                <w:szCs w:val="21"/>
              </w:rPr>
              <w:t>诺安基金管理有限公司</w:t>
            </w:r>
          </w:p>
        </w:tc>
      </w:tr>
      <w:tr w:rsidR="00000000">
        <w:tc>
          <w:tcPr>
            <w:tcW w:w="3144" w:type="dxa"/>
            <w:gridSpan w:val="2"/>
            <w:vAlign w:val="center"/>
          </w:tcPr>
          <w:p w:rsidR="00000000" w:rsidRDefault="00521935">
            <w:pPr>
              <w:spacing w:line="276" w:lineRule="auto"/>
              <w:rPr>
                <w:rFonts w:eastAsia="方正仿宋简体"/>
                <w:color w:val="000000"/>
                <w:kern w:val="0"/>
                <w:szCs w:val="21"/>
              </w:rPr>
            </w:pPr>
            <w:r>
              <w:rPr>
                <w:color w:val="000000"/>
                <w:szCs w:val="21"/>
              </w:rPr>
              <w:t>公告依据</w:t>
            </w:r>
          </w:p>
        </w:tc>
        <w:tc>
          <w:tcPr>
            <w:tcW w:w="5378" w:type="dxa"/>
            <w:gridSpan w:val="2"/>
            <w:vAlign w:val="center"/>
          </w:tcPr>
          <w:p w:rsidR="00000000" w:rsidRDefault="00521935">
            <w:pPr>
              <w:spacing w:line="276" w:lineRule="auto"/>
              <w:rPr>
                <w:szCs w:val="21"/>
              </w:rPr>
            </w:pPr>
            <w:r>
              <w:rPr>
                <w:szCs w:val="21"/>
              </w:rPr>
              <w:t>《公开募集证券投资基金信息披露管理办法》《</w:t>
            </w:r>
            <w:r>
              <w:rPr>
                <w:szCs w:val="21"/>
              </w:rPr>
              <w:t>诺安聚利债券型证券投资基金</w:t>
            </w:r>
            <w:r>
              <w:rPr>
                <w:szCs w:val="21"/>
              </w:rPr>
              <w:t>基金合同》《</w:t>
            </w:r>
            <w:r>
              <w:rPr>
                <w:szCs w:val="21"/>
              </w:rPr>
              <w:t>诺安聚利债券型证券投资基金</w:t>
            </w:r>
            <w:r>
              <w:rPr>
                <w:szCs w:val="21"/>
              </w:rPr>
              <w:t>招募说明书》等相关文件的规定。</w:t>
            </w:r>
          </w:p>
        </w:tc>
      </w:tr>
      <w:tr w:rsidR="00000000">
        <w:tc>
          <w:tcPr>
            <w:tcW w:w="959" w:type="dxa"/>
            <w:vMerge w:val="restart"/>
            <w:vAlign w:val="center"/>
          </w:tcPr>
          <w:p w:rsidR="00000000" w:rsidRDefault="00521935">
            <w:pPr>
              <w:spacing w:line="276" w:lineRule="auto"/>
              <w:rPr>
                <w:szCs w:val="21"/>
              </w:rPr>
            </w:pPr>
            <w:r>
              <w:rPr>
                <w:color w:val="000000"/>
                <w:szCs w:val="21"/>
              </w:rPr>
              <w:t>恢复相关业务的日期及原因说明</w:t>
            </w:r>
          </w:p>
        </w:tc>
        <w:tc>
          <w:tcPr>
            <w:tcW w:w="2185" w:type="dxa"/>
            <w:vAlign w:val="center"/>
          </w:tcPr>
          <w:p w:rsidR="00000000" w:rsidRDefault="00521935">
            <w:pPr>
              <w:spacing w:line="276" w:lineRule="auto"/>
              <w:jc w:val="left"/>
              <w:rPr>
                <w:szCs w:val="21"/>
              </w:rPr>
            </w:pPr>
            <w:r>
              <w:rPr>
                <w:color w:val="000000"/>
                <w:szCs w:val="21"/>
              </w:rPr>
              <w:t>恢复大额申购日</w:t>
            </w:r>
          </w:p>
        </w:tc>
        <w:tc>
          <w:tcPr>
            <w:tcW w:w="5378" w:type="dxa"/>
            <w:gridSpan w:val="2"/>
            <w:vAlign w:val="center"/>
          </w:tcPr>
          <w:p w:rsidR="00000000" w:rsidRDefault="00521935">
            <w:pPr>
              <w:spacing w:line="276" w:lineRule="auto"/>
              <w:rPr>
                <w:szCs w:val="21"/>
              </w:rPr>
            </w:pPr>
            <w:r>
              <w:rPr>
                <w:rFonts w:hint="eastAsia"/>
                <w:szCs w:val="21"/>
              </w:rPr>
              <w:t>2025</w:t>
            </w:r>
            <w:r>
              <w:rPr>
                <w:szCs w:val="21"/>
              </w:rPr>
              <w:t>年</w:t>
            </w:r>
            <w:r>
              <w:rPr>
                <w:rFonts w:hint="eastAsia"/>
                <w:szCs w:val="21"/>
              </w:rPr>
              <w:t>12</w:t>
            </w:r>
            <w:r>
              <w:rPr>
                <w:szCs w:val="21"/>
              </w:rPr>
              <w:t>月</w:t>
            </w:r>
            <w:r>
              <w:rPr>
                <w:rFonts w:hint="eastAsia"/>
                <w:szCs w:val="21"/>
              </w:rPr>
              <w:t>19</w:t>
            </w:r>
            <w:r>
              <w:rPr>
                <w:szCs w:val="21"/>
              </w:rPr>
              <w:t>日</w:t>
            </w:r>
          </w:p>
        </w:tc>
      </w:tr>
      <w:tr w:rsidR="00000000">
        <w:tc>
          <w:tcPr>
            <w:tcW w:w="959" w:type="dxa"/>
            <w:vMerge/>
            <w:vAlign w:val="center"/>
          </w:tcPr>
          <w:p w:rsidR="00000000" w:rsidRDefault="00521935">
            <w:pPr>
              <w:spacing w:line="276" w:lineRule="auto"/>
              <w:rPr>
                <w:rFonts w:eastAsia="方正仿宋简体"/>
                <w:color w:val="000000"/>
                <w:kern w:val="0"/>
                <w:szCs w:val="21"/>
              </w:rPr>
            </w:pPr>
          </w:p>
        </w:tc>
        <w:tc>
          <w:tcPr>
            <w:tcW w:w="2185" w:type="dxa"/>
            <w:vAlign w:val="center"/>
          </w:tcPr>
          <w:p w:rsidR="00000000" w:rsidRDefault="00521935">
            <w:pPr>
              <w:spacing w:line="276" w:lineRule="auto"/>
              <w:jc w:val="left"/>
              <w:rPr>
                <w:rFonts w:eastAsia="方正仿宋简体"/>
                <w:color w:val="000000"/>
                <w:kern w:val="0"/>
                <w:szCs w:val="21"/>
              </w:rPr>
            </w:pPr>
            <w:r>
              <w:rPr>
                <w:color w:val="000000"/>
                <w:szCs w:val="21"/>
              </w:rPr>
              <w:t>恢复大额转</w:t>
            </w:r>
            <w:r>
              <w:rPr>
                <w:color w:val="000000"/>
                <w:szCs w:val="21"/>
              </w:rPr>
              <w:t>换转入日</w:t>
            </w:r>
          </w:p>
        </w:tc>
        <w:tc>
          <w:tcPr>
            <w:tcW w:w="5378" w:type="dxa"/>
            <w:gridSpan w:val="2"/>
          </w:tcPr>
          <w:p w:rsidR="00000000" w:rsidRDefault="00521935">
            <w:r>
              <w:rPr>
                <w:rFonts w:hint="eastAsia"/>
                <w:szCs w:val="21"/>
              </w:rPr>
              <w:t>2025</w:t>
            </w:r>
            <w:r>
              <w:rPr>
                <w:szCs w:val="21"/>
              </w:rPr>
              <w:t>年</w:t>
            </w:r>
            <w:r>
              <w:rPr>
                <w:rFonts w:hint="eastAsia"/>
                <w:szCs w:val="21"/>
              </w:rPr>
              <w:t>12</w:t>
            </w:r>
            <w:r>
              <w:rPr>
                <w:szCs w:val="21"/>
              </w:rPr>
              <w:t>月</w:t>
            </w:r>
            <w:r>
              <w:rPr>
                <w:rFonts w:hint="eastAsia"/>
                <w:szCs w:val="21"/>
              </w:rPr>
              <w:t>19</w:t>
            </w:r>
            <w:r>
              <w:rPr>
                <w:szCs w:val="21"/>
              </w:rPr>
              <w:t>日</w:t>
            </w:r>
          </w:p>
        </w:tc>
      </w:tr>
      <w:tr w:rsidR="00000000">
        <w:tc>
          <w:tcPr>
            <w:tcW w:w="959" w:type="dxa"/>
            <w:vMerge/>
            <w:vAlign w:val="center"/>
          </w:tcPr>
          <w:p w:rsidR="00000000" w:rsidRDefault="00521935">
            <w:pPr>
              <w:spacing w:line="276" w:lineRule="auto"/>
              <w:rPr>
                <w:rFonts w:eastAsia="方正仿宋简体"/>
                <w:color w:val="000000"/>
                <w:kern w:val="0"/>
                <w:szCs w:val="21"/>
              </w:rPr>
            </w:pPr>
          </w:p>
        </w:tc>
        <w:tc>
          <w:tcPr>
            <w:tcW w:w="2185" w:type="dxa"/>
            <w:vAlign w:val="center"/>
          </w:tcPr>
          <w:p w:rsidR="00000000" w:rsidRDefault="00521935">
            <w:pPr>
              <w:spacing w:line="276" w:lineRule="auto"/>
              <w:jc w:val="left"/>
              <w:rPr>
                <w:color w:val="000000"/>
                <w:szCs w:val="21"/>
              </w:rPr>
            </w:pPr>
            <w:r>
              <w:rPr>
                <w:color w:val="000000"/>
                <w:szCs w:val="21"/>
              </w:rPr>
              <w:t>恢复大额定投日</w:t>
            </w:r>
          </w:p>
        </w:tc>
        <w:tc>
          <w:tcPr>
            <w:tcW w:w="5378" w:type="dxa"/>
            <w:gridSpan w:val="2"/>
          </w:tcPr>
          <w:p w:rsidR="00000000" w:rsidRDefault="00521935">
            <w:r>
              <w:rPr>
                <w:rFonts w:hint="eastAsia"/>
                <w:szCs w:val="21"/>
              </w:rPr>
              <w:t>2025</w:t>
            </w:r>
            <w:r>
              <w:rPr>
                <w:szCs w:val="21"/>
              </w:rPr>
              <w:t>年</w:t>
            </w:r>
            <w:r>
              <w:rPr>
                <w:rFonts w:hint="eastAsia"/>
                <w:szCs w:val="21"/>
              </w:rPr>
              <w:t>12</w:t>
            </w:r>
            <w:r>
              <w:rPr>
                <w:szCs w:val="21"/>
              </w:rPr>
              <w:t>月</w:t>
            </w:r>
            <w:r>
              <w:rPr>
                <w:rFonts w:hint="eastAsia"/>
                <w:szCs w:val="21"/>
              </w:rPr>
              <w:t>19</w:t>
            </w:r>
            <w:r>
              <w:rPr>
                <w:szCs w:val="21"/>
              </w:rPr>
              <w:t>日</w:t>
            </w:r>
          </w:p>
        </w:tc>
      </w:tr>
      <w:tr w:rsidR="00000000">
        <w:tc>
          <w:tcPr>
            <w:tcW w:w="959" w:type="dxa"/>
            <w:vMerge/>
            <w:vAlign w:val="center"/>
          </w:tcPr>
          <w:p w:rsidR="00000000" w:rsidRDefault="00521935">
            <w:pPr>
              <w:spacing w:line="276" w:lineRule="auto"/>
              <w:rPr>
                <w:szCs w:val="21"/>
              </w:rPr>
            </w:pPr>
          </w:p>
        </w:tc>
        <w:tc>
          <w:tcPr>
            <w:tcW w:w="2185" w:type="dxa"/>
            <w:vAlign w:val="center"/>
          </w:tcPr>
          <w:p w:rsidR="00000000" w:rsidRDefault="00521935">
            <w:pPr>
              <w:spacing w:line="276" w:lineRule="auto"/>
              <w:rPr>
                <w:szCs w:val="21"/>
              </w:rPr>
            </w:pPr>
            <w:r>
              <w:rPr>
                <w:color w:val="000000"/>
                <w:szCs w:val="21"/>
              </w:rPr>
              <w:t>恢复大额申购、转换转入及定投业务的原因说明</w:t>
            </w:r>
          </w:p>
        </w:tc>
        <w:tc>
          <w:tcPr>
            <w:tcW w:w="5378" w:type="dxa"/>
            <w:gridSpan w:val="2"/>
            <w:vAlign w:val="center"/>
          </w:tcPr>
          <w:p w:rsidR="00000000" w:rsidRDefault="00521935">
            <w:pPr>
              <w:spacing w:line="276" w:lineRule="auto"/>
              <w:rPr>
                <w:szCs w:val="21"/>
              </w:rPr>
            </w:pPr>
            <w:r>
              <w:t>为了</w:t>
            </w:r>
            <w:r>
              <w:rPr>
                <w:rFonts w:hint="eastAsia"/>
              </w:rPr>
              <w:t>更好地</w:t>
            </w:r>
            <w:r>
              <w:t>满足投资者的投资需求。</w:t>
            </w:r>
          </w:p>
        </w:tc>
      </w:tr>
      <w:tr w:rsidR="00000000">
        <w:tc>
          <w:tcPr>
            <w:tcW w:w="3144" w:type="dxa"/>
            <w:gridSpan w:val="2"/>
            <w:vAlign w:val="center"/>
          </w:tcPr>
          <w:p w:rsidR="00000000" w:rsidRDefault="00521935">
            <w:pPr>
              <w:spacing w:line="276" w:lineRule="auto"/>
              <w:rPr>
                <w:szCs w:val="21"/>
              </w:rPr>
            </w:pPr>
            <w:r>
              <w:rPr>
                <w:szCs w:val="21"/>
              </w:rPr>
              <w:t>下属分级基金的基金简称</w:t>
            </w:r>
          </w:p>
        </w:tc>
        <w:tc>
          <w:tcPr>
            <w:tcW w:w="2681" w:type="dxa"/>
            <w:vAlign w:val="center"/>
          </w:tcPr>
          <w:p w:rsidR="00000000" w:rsidRDefault="00521935">
            <w:pPr>
              <w:jc w:val="center"/>
              <w:rPr>
                <w:color w:val="000000"/>
                <w:szCs w:val="21"/>
              </w:rPr>
            </w:pPr>
            <w:r>
              <w:rPr>
                <w:szCs w:val="21"/>
              </w:rPr>
              <w:t>诺安聚利债券</w:t>
            </w:r>
            <w:r>
              <w:rPr>
                <w:color w:val="000000"/>
                <w:szCs w:val="21"/>
              </w:rPr>
              <w:t>A</w:t>
            </w:r>
          </w:p>
        </w:tc>
        <w:tc>
          <w:tcPr>
            <w:tcW w:w="2697" w:type="dxa"/>
            <w:vAlign w:val="center"/>
          </w:tcPr>
          <w:p w:rsidR="00000000" w:rsidRDefault="00521935">
            <w:pPr>
              <w:autoSpaceDE w:val="0"/>
              <w:autoSpaceDN w:val="0"/>
              <w:adjustRightInd w:val="0"/>
              <w:jc w:val="center"/>
              <w:rPr>
                <w:rFonts w:hint="eastAsia"/>
                <w:szCs w:val="21"/>
              </w:rPr>
            </w:pPr>
            <w:r>
              <w:rPr>
                <w:szCs w:val="21"/>
              </w:rPr>
              <w:t>诺安聚利债券</w:t>
            </w:r>
            <w:r>
              <w:rPr>
                <w:kern w:val="0"/>
                <w:szCs w:val="21"/>
              </w:rPr>
              <w:t>C</w:t>
            </w:r>
          </w:p>
        </w:tc>
      </w:tr>
      <w:tr w:rsidR="00000000">
        <w:tc>
          <w:tcPr>
            <w:tcW w:w="3144" w:type="dxa"/>
            <w:gridSpan w:val="2"/>
            <w:vAlign w:val="center"/>
          </w:tcPr>
          <w:p w:rsidR="00000000" w:rsidRDefault="00521935">
            <w:pPr>
              <w:spacing w:line="276" w:lineRule="auto"/>
              <w:rPr>
                <w:szCs w:val="21"/>
              </w:rPr>
            </w:pPr>
            <w:r>
              <w:rPr>
                <w:szCs w:val="21"/>
              </w:rPr>
              <w:t>下属分级基金的交易代码</w:t>
            </w:r>
          </w:p>
        </w:tc>
        <w:tc>
          <w:tcPr>
            <w:tcW w:w="2681" w:type="dxa"/>
            <w:vAlign w:val="center"/>
          </w:tcPr>
          <w:p w:rsidR="00000000" w:rsidRDefault="00521935">
            <w:pPr>
              <w:jc w:val="center"/>
              <w:rPr>
                <w:color w:val="000000"/>
                <w:szCs w:val="21"/>
              </w:rPr>
            </w:pPr>
            <w:r>
              <w:rPr>
                <w:szCs w:val="21"/>
              </w:rPr>
              <w:t>000736</w:t>
            </w:r>
          </w:p>
        </w:tc>
        <w:tc>
          <w:tcPr>
            <w:tcW w:w="2697" w:type="dxa"/>
            <w:vAlign w:val="center"/>
          </w:tcPr>
          <w:p w:rsidR="00000000" w:rsidRDefault="00521935">
            <w:pPr>
              <w:autoSpaceDE w:val="0"/>
              <w:autoSpaceDN w:val="0"/>
              <w:adjustRightInd w:val="0"/>
              <w:jc w:val="center"/>
              <w:rPr>
                <w:szCs w:val="21"/>
              </w:rPr>
            </w:pPr>
            <w:r>
              <w:rPr>
                <w:szCs w:val="21"/>
              </w:rPr>
              <w:t>00073</w:t>
            </w:r>
            <w:r>
              <w:rPr>
                <w:rFonts w:hint="eastAsia"/>
                <w:szCs w:val="21"/>
              </w:rPr>
              <w:t>7</w:t>
            </w:r>
          </w:p>
        </w:tc>
      </w:tr>
      <w:tr w:rsidR="00000000">
        <w:tc>
          <w:tcPr>
            <w:tcW w:w="3144" w:type="dxa"/>
            <w:gridSpan w:val="2"/>
            <w:vAlign w:val="center"/>
          </w:tcPr>
          <w:p w:rsidR="00000000" w:rsidRDefault="00521935">
            <w:pPr>
              <w:spacing w:line="276" w:lineRule="auto"/>
              <w:rPr>
                <w:szCs w:val="21"/>
              </w:rPr>
            </w:pPr>
            <w:r>
              <w:rPr>
                <w:szCs w:val="21"/>
              </w:rPr>
              <w:t>该分级基金是否恢复</w:t>
            </w:r>
            <w:r>
              <w:rPr>
                <w:color w:val="000000"/>
                <w:szCs w:val="21"/>
              </w:rPr>
              <w:t>大额</w:t>
            </w:r>
            <w:r>
              <w:rPr>
                <w:szCs w:val="21"/>
              </w:rPr>
              <w:t>申购、转换转入、定投</w:t>
            </w:r>
            <w:r>
              <w:rPr>
                <w:rFonts w:hint="eastAsia"/>
                <w:szCs w:val="21"/>
              </w:rPr>
              <w:t>业务</w:t>
            </w:r>
          </w:p>
        </w:tc>
        <w:tc>
          <w:tcPr>
            <w:tcW w:w="2681" w:type="dxa"/>
            <w:vAlign w:val="center"/>
          </w:tcPr>
          <w:p w:rsidR="00000000" w:rsidRDefault="00521935">
            <w:pPr>
              <w:jc w:val="center"/>
              <w:rPr>
                <w:color w:val="000000"/>
                <w:szCs w:val="21"/>
              </w:rPr>
            </w:pPr>
            <w:r>
              <w:rPr>
                <w:color w:val="000000"/>
                <w:szCs w:val="21"/>
              </w:rPr>
              <w:t>是</w:t>
            </w:r>
          </w:p>
        </w:tc>
        <w:tc>
          <w:tcPr>
            <w:tcW w:w="2697" w:type="dxa"/>
            <w:vAlign w:val="center"/>
          </w:tcPr>
          <w:p w:rsidR="00000000" w:rsidRDefault="00521935">
            <w:pPr>
              <w:autoSpaceDE w:val="0"/>
              <w:autoSpaceDN w:val="0"/>
              <w:adjustRightInd w:val="0"/>
              <w:jc w:val="center"/>
              <w:rPr>
                <w:rFonts w:hint="eastAsia"/>
                <w:szCs w:val="21"/>
              </w:rPr>
            </w:pPr>
            <w:r>
              <w:rPr>
                <w:kern w:val="0"/>
                <w:szCs w:val="21"/>
              </w:rPr>
              <w:t>是</w:t>
            </w:r>
          </w:p>
        </w:tc>
      </w:tr>
    </w:tbl>
    <w:p w:rsidR="00000000" w:rsidRDefault="00521935">
      <w:pPr>
        <w:spacing w:line="276" w:lineRule="auto"/>
        <w:jc w:val="left"/>
        <w:rPr>
          <w:rFonts w:hint="eastAsia"/>
        </w:rPr>
      </w:pPr>
      <w:r>
        <w:rPr>
          <w:rFonts w:hint="eastAsia"/>
        </w:rPr>
        <w:t>注：本次大额申购、转换转入及定投业务恢复仅适用于个人投资者。</w:t>
      </w:r>
    </w:p>
    <w:p w:rsidR="00000000" w:rsidRDefault="00521935">
      <w:pPr>
        <w:spacing w:line="276" w:lineRule="auto"/>
        <w:jc w:val="left"/>
      </w:pPr>
    </w:p>
    <w:p w:rsidR="00000000" w:rsidRDefault="00521935">
      <w:pPr>
        <w:spacing w:line="276" w:lineRule="auto"/>
        <w:jc w:val="left"/>
        <w:rPr>
          <w:b/>
          <w:color w:val="000000"/>
          <w:kern w:val="0"/>
          <w:szCs w:val="21"/>
        </w:rPr>
      </w:pPr>
      <w:r>
        <w:rPr>
          <w:b/>
          <w:color w:val="000000"/>
          <w:kern w:val="0"/>
          <w:szCs w:val="21"/>
        </w:rPr>
        <w:t xml:space="preserve">2 </w:t>
      </w:r>
      <w:r>
        <w:rPr>
          <w:rFonts w:hAnsi="宋体"/>
          <w:b/>
          <w:color w:val="000000"/>
          <w:kern w:val="0"/>
          <w:szCs w:val="21"/>
        </w:rPr>
        <w:t>其他需要提示的事项</w:t>
      </w:r>
    </w:p>
    <w:p w:rsidR="00000000" w:rsidRDefault="00521935">
      <w:pPr>
        <w:spacing w:line="276" w:lineRule="auto"/>
        <w:ind w:firstLine="420"/>
        <w:rPr>
          <w:rFonts w:hAnsi="宋体"/>
          <w:szCs w:val="21"/>
        </w:rPr>
      </w:pPr>
      <w:r>
        <w:rPr>
          <w:rFonts w:hAnsi="宋体"/>
          <w:color w:val="000000"/>
          <w:kern w:val="0"/>
          <w:szCs w:val="21"/>
        </w:rPr>
        <w:t>（</w:t>
      </w:r>
      <w:r>
        <w:rPr>
          <w:color w:val="000000"/>
          <w:kern w:val="0"/>
          <w:szCs w:val="21"/>
        </w:rPr>
        <w:t>1</w:t>
      </w:r>
      <w:r>
        <w:rPr>
          <w:rFonts w:hAnsi="宋体"/>
          <w:color w:val="000000"/>
          <w:kern w:val="0"/>
          <w:szCs w:val="21"/>
        </w:rPr>
        <w:t>）</w:t>
      </w:r>
      <w:r>
        <w:rPr>
          <w:rFonts w:hAnsi="宋体"/>
          <w:szCs w:val="21"/>
        </w:rPr>
        <w:t>本基金管理人决定自</w:t>
      </w:r>
      <w:r>
        <w:rPr>
          <w:rFonts w:hint="eastAsia"/>
          <w:szCs w:val="21"/>
        </w:rPr>
        <w:t>2025</w:t>
      </w:r>
      <w:r>
        <w:rPr>
          <w:rFonts w:hAnsi="宋体"/>
          <w:szCs w:val="21"/>
        </w:rPr>
        <w:t>年</w:t>
      </w:r>
      <w:r>
        <w:rPr>
          <w:rFonts w:hint="eastAsia"/>
          <w:szCs w:val="21"/>
        </w:rPr>
        <w:t>12</w:t>
      </w:r>
      <w:r>
        <w:rPr>
          <w:rFonts w:hAnsi="宋体"/>
          <w:szCs w:val="21"/>
        </w:rPr>
        <w:t>月</w:t>
      </w:r>
      <w:r>
        <w:rPr>
          <w:rFonts w:hint="eastAsia"/>
          <w:szCs w:val="21"/>
        </w:rPr>
        <w:t>19</w:t>
      </w:r>
      <w:r>
        <w:rPr>
          <w:rFonts w:hAnsi="宋体"/>
          <w:szCs w:val="21"/>
        </w:rPr>
        <w:t>日起，取消本基金</w:t>
      </w:r>
      <w:r>
        <w:rPr>
          <w:rFonts w:hAnsi="宋体" w:hint="eastAsia"/>
          <w:szCs w:val="21"/>
        </w:rPr>
        <w:t>A</w:t>
      </w:r>
      <w:r>
        <w:rPr>
          <w:rFonts w:hAnsi="宋体" w:hint="eastAsia"/>
          <w:szCs w:val="21"/>
        </w:rPr>
        <w:t>类基金份额及</w:t>
      </w:r>
      <w:r>
        <w:rPr>
          <w:rFonts w:hAnsi="宋体" w:hint="eastAsia"/>
          <w:szCs w:val="21"/>
        </w:rPr>
        <w:t>C</w:t>
      </w:r>
      <w:r>
        <w:rPr>
          <w:rFonts w:hAnsi="宋体" w:hint="eastAsia"/>
          <w:szCs w:val="21"/>
        </w:rPr>
        <w:t>类基金份额对个人</w:t>
      </w:r>
      <w:r>
        <w:rPr>
          <w:rFonts w:hAnsi="宋体" w:hint="eastAsia"/>
          <w:szCs w:val="21"/>
        </w:rPr>
        <w:t>投资者的</w:t>
      </w:r>
      <w:r>
        <w:rPr>
          <w:rFonts w:hint="eastAsia"/>
        </w:rPr>
        <w:t>大额申购、转换转入及定投业务限制，</w:t>
      </w:r>
      <w:r>
        <w:rPr>
          <w:rFonts w:hAnsi="宋体"/>
          <w:szCs w:val="21"/>
        </w:rPr>
        <w:t>恢复办理本基金的</w:t>
      </w:r>
      <w:r>
        <w:rPr>
          <w:rFonts w:hAnsi="宋体" w:hint="eastAsia"/>
          <w:szCs w:val="21"/>
        </w:rPr>
        <w:t>正常</w:t>
      </w:r>
      <w:r>
        <w:rPr>
          <w:rFonts w:hAnsi="宋体"/>
          <w:szCs w:val="21"/>
        </w:rPr>
        <w:t>申购、转换转入及定投业务。</w:t>
      </w:r>
    </w:p>
    <w:p w:rsidR="00000000" w:rsidRDefault="00521935">
      <w:pPr>
        <w:spacing w:line="276" w:lineRule="auto"/>
        <w:ind w:firstLine="420"/>
        <w:rPr>
          <w:rFonts w:hAnsi="宋体"/>
          <w:szCs w:val="21"/>
        </w:rPr>
      </w:pPr>
      <w:r>
        <w:rPr>
          <w:rFonts w:hAnsi="宋体" w:hint="eastAsia"/>
          <w:szCs w:val="21"/>
        </w:rPr>
        <w:t>（</w:t>
      </w:r>
      <w:r>
        <w:rPr>
          <w:rFonts w:hAnsi="宋体" w:hint="eastAsia"/>
          <w:szCs w:val="21"/>
        </w:rPr>
        <w:t>2</w:t>
      </w:r>
      <w:r>
        <w:rPr>
          <w:rFonts w:hAnsi="宋体" w:hint="eastAsia"/>
          <w:szCs w:val="21"/>
        </w:rPr>
        <w:t>）</w:t>
      </w:r>
      <w:r>
        <w:rPr>
          <w:rFonts w:hAnsi="宋体" w:hint="eastAsia"/>
          <w:szCs w:val="21"/>
        </w:rPr>
        <w:t>根据</w:t>
      </w:r>
      <w:r>
        <w:rPr>
          <w:rFonts w:hAnsi="宋体"/>
          <w:szCs w:val="21"/>
        </w:rPr>
        <w:t>本基金管理人</w:t>
      </w:r>
      <w:r>
        <w:rPr>
          <w:rFonts w:hAnsi="宋体" w:hint="eastAsia"/>
          <w:szCs w:val="21"/>
        </w:rPr>
        <w:t>2024</w:t>
      </w:r>
      <w:r>
        <w:rPr>
          <w:rFonts w:hAnsi="宋体" w:hint="eastAsia"/>
          <w:szCs w:val="21"/>
        </w:rPr>
        <w:t>年</w:t>
      </w:r>
      <w:r>
        <w:rPr>
          <w:rFonts w:hAnsi="宋体" w:hint="eastAsia"/>
          <w:szCs w:val="21"/>
        </w:rPr>
        <w:t>9</w:t>
      </w:r>
      <w:r>
        <w:rPr>
          <w:rFonts w:hAnsi="宋体" w:hint="eastAsia"/>
          <w:szCs w:val="21"/>
        </w:rPr>
        <w:t>月</w:t>
      </w:r>
      <w:r>
        <w:rPr>
          <w:rFonts w:hAnsi="宋体" w:hint="eastAsia"/>
          <w:szCs w:val="21"/>
        </w:rPr>
        <w:t>13</w:t>
      </w:r>
      <w:r>
        <w:rPr>
          <w:rFonts w:hAnsi="宋体" w:hint="eastAsia"/>
          <w:szCs w:val="21"/>
        </w:rPr>
        <w:t>日发布的《诺安聚利债券型证券投资基金调整机构投资者大额申购（含定投）、转换转入业务的公告》，机构投资者单日单个基金账户关于</w:t>
      </w:r>
      <w:r>
        <w:rPr>
          <w:rFonts w:hAnsi="宋体"/>
          <w:szCs w:val="21"/>
        </w:rPr>
        <w:t>本基金</w:t>
      </w:r>
      <w:r>
        <w:rPr>
          <w:rFonts w:hAnsi="宋体" w:hint="eastAsia"/>
          <w:szCs w:val="21"/>
        </w:rPr>
        <w:t>A</w:t>
      </w:r>
      <w:r>
        <w:rPr>
          <w:rFonts w:hAnsi="宋体" w:hint="eastAsia"/>
          <w:szCs w:val="21"/>
        </w:rPr>
        <w:t>类基金份额或</w:t>
      </w:r>
      <w:r>
        <w:rPr>
          <w:rFonts w:hAnsi="宋体" w:hint="eastAsia"/>
          <w:szCs w:val="21"/>
        </w:rPr>
        <w:t>C</w:t>
      </w:r>
      <w:r>
        <w:rPr>
          <w:rFonts w:hAnsi="宋体" w:hint="eastAsia"/>
          <w:szCs w:val="21"/>
        </w:rPr>
        <w:t>类基金份额单笔或多笔申请的累计金额应等于或低于</w:t>
      </w:r>
      <w:r>
        <w:rPr>
          <w:rFonts w:hAnsi="宋体" w:hint="eastAsia"/>
          <w:szCs w:val="21"/>
        </w:rPr>
        <w:t>1000</w:t>
      </w:r>
      <w:r>
        <w:rPr>
          <w:rFonts w:hAnsi="宋体" w:hint="eastAsia"/>
          <w:szCs w:val="21"/>
        </w:rPr>
        <w:t>元，如单日单个基金账户关于任一类基金份额单笔或多笔申请的累计金额高于</w:t>
      </w:r>
      <w:r>
        <w:rPr>
          <w:rFonts w:hAnsi="宋体" w:hint="eastAsia"/>
          <w:szCs w:val="21"/>
        </w:rPr>
        <w:t>1000</w:t>
      </w:r>
      <w:r>
        <w:rPr>
          <w:rFonts w:hAnsi="宋体" w:hint="eastAsia"/>
          <w:szCs w:val="21"/>
        </w:rPr>
        <w:t>元的，本基金管理人可部分或全部予以拒绝，但本基金管理人认为相关申请不会影响基金平稳运作的除外。</w:t>
      </w:r>
    </w:p>
    <w:p w:rsidR="00000000" w:rsidRDefault="00521935">
      <w:pPr>
        <w:spacing w:line="276" w:lineRule="auto"/>
        <w:ind w:firstLine="420"/>
        <w:rPr>
          <w:color w:val="000000"/>
          <w:kern w:val="0"/>
          <w:szCs w:val="21"/>
        </w:rPr>
      </w:pPr>
      <w:r>
        <w:rPr>
          <w:color w:val="000000"/>
          <w:kern w:val="0"/>
          <w:szCs w:val="21"/>
        </w:rPr>
        <w:t>（</w:t>
      </w:r>
      <w:r>
        <w:rPr>
          <w:color w:val="000000"/>
          <w:kern w:val="0"/>
          <w:szCs w:val="21"/>
        </w:rPr>
        <w:t>3</w:t>
      </w:r>
      <w:r>
        <w:rPr>
          <w:color w:val="000000"/>
          <w:kern w:val="0"/>
          <w:szCs w:val="21"/>
        </w:rPr>
        <w:t>）投资者</w:t>
      </w:r>
      <w:r>
        <w:rPr>
          <w:color w:val="000000"/>
          <w:kern w:val="0"/>
          <w:szCs w:val="21"/>
        </w:rPr>
        <w:t>欲了解本基金的详细情况，请仔细阅读本基金的基金合同、招募说明书、基金产品资料概要等法律文件。</w:t>
      </w:r>
    </w:p>
    <w:p w:rsidR="00000000" w:rsidRDefault="00521935">
      <w:pPr>
        <w:spacing w:line="276" w:lineRule="auto"/>
        <w:ind w:firstLine="420"/>
        <w:rPr>
          <w:color w:val="000000"/>
          <w:kern w:val="0"/>
          <w:szCs w:val="21"/>
        </w:rPr>
      </w:pPr>
      <w:r>
        <w:rPr>
          <w:color w:val="000000"/>
          <w:kern w:val="0"/>
          <w:szCs w:val="21"/>
        </w:rPr>
        <w:lastRenderedPageBreak/>
        <w:t>（</w:t>
      </w:r>
      <w:r>
        <w:rPr>
          <w:color w:val="000000"/>
          <w:kern w:val="0"/>
          <w:szCs w:val="21"/>
        </w:rPr>
        <w:t>4</w:t>
      </w:r>
      <w:r>
        <w:rPr>
          <w:color w:val="000000"/>
          <w:kern w:val="0"/>
          <w:szCs w:val="21"/>
        </w:rPr>
        <w:t>）如有疑问</w:t>
      </w:r>
      <w:r>
        <w:rPr>
          <w:rFonts w:hint="eastAsia"/>
          <w:color w:val="000000"/>
          <w:kern w:val="0"/>
          <w:szCs w:val="21"/>
        </w:rPr>
        <w:t>，</w:t>
      </w:r>
      <w:r>
        <w:rPr>
          <w:color w:val="000000"/>
          <w:kern w:val="0"/>
          <w:szCs w:val="21"/>
        </w:rPr>
        <w:t>请拨打本公司客户服务电话</w:t>
      </w:r>
      <w:r>
        <w:rPr>
          <w:color w:val="000000"/>
          <w:kern w:val="0"/>
          <w:szCs w:val="21"/>
        </w:rPr>
        <w:t>400-888-8998</w:t>
      </w:r>
      <w:r>
        <w:rPr>
          <w:rFonts w:hint="eastAsia"/>
          <w:color w:val="000000"/>
          <w:kern w:val="0"/>
          <w:szCs w:val="21"/>
        </w:rPr>
        <w:t>（</w:t>
      </w:r>
      <w:r>
        <w:rPr>
          <w:color w:val="000000"/>
          <w:kern w:val="0"/>
          <w:szCs w:val="21"/>
        </w:rPr>
        <w:t>免长途话费</w:t>
      </w:r>
      <w:r>
        <w:rPr>
          <w:rFonts w:hint="eastAsia"/>
          <w:color w:val="000000"/>
          <w:kern w:val="0"/>
          <w:szCs w:val="21"/>
        </w:rPr>
        <w:t>）</w:t>
      </w:r>
      <w:r>
        <w:rPr>
          <w:rFonts w:hint="eastAsia"/>
          <w:color w:val="000000"/>
          <w:kern w:val="0"/>
          <w:szCs w:val="21"/>
        </w:rPr>
        <w:t>，</w:t>
      </w:r>
      <w:r>
        <w:rPr>
          <w:color w:val="000000"/>
          <w:kern w:val="0"/>
          <w:szCs w:val="21"/>
        </w:rPr>
        <w:t>或至本公司网站</w:t>
      </w:r>
      <w:r>
        <w:rPr>
          <w:color w:val="000000"/>
          <w:kern w:val="0"/>
          <w:szCs w:val="21"/>
        </w:rPr>
        <w:t xml:space="preserve">www.lionfund.com.cn </w:t>
      </w:r>
      <w:r>
        <w:rPr>
          <w:color w:val="000000"/>
          <w:kern w:val="0"/>
          <w:szCs w:val="21"/>
        </w:rPr>
        <w:t>获取相关信息。</w:t>
      </w:r>
    </w:p>
    <w:p w:rsidR="00000000" w:rsidRDefault="00521935">
      <w:pPr>
        <w:spacing w:line="276" w:lineRule="auto"/>
        <w:ind w:firstLine="420"/>
        <w:rPr>
          <w:color w:val="000000"/>
          <w:kern w:val="0"/>
          <w:szCs w:val="21"/>
        </w:rPr>
      </w:pPr>
      <w:r>
        <w:rPr>
          <w:color w:val="000000"/>
          <w:kern w:val="0"/>
          <w:szCs w:val="21"/>
        </w:rPr>
        <w:t>（</w:t>
      </w:r>
      <w:r>
        <w:rPr>
          <w:color w:val="000000"/>
          <w:kern w:val="0"/>
          <w:szCs w:val="21"/>
        </w:rPr>
        <w:t>5</w:t>
      </w:r>
      <w:r>
        <w:rPr>
          <w:color w:val="000000"/>
          <w:kern w:val="0"/>
          <w:szCs w:val="21"/>
        </w:rPr>
        <w:t>）本公告的有关内容在法律法规允许范围内由本公司负责解释。</w:t>
      </w:r>
    </w:p>
    <w:p w:rsidR="00000000" w:rsidRDefault="00521935">
      <w:pPr>
        <w:autoSpaceDE w:val="0"/>
        <w:autoSpaceDN w:val="0"/>
        <w:adjustRightInd w:val="0"/>
        <w:spacing w:line="276" w:lineRule="auto"/>
        <w:ind w:firstLineChars="200" w:firstLine="422"/>
        <w:jc w:val="left"/>
        <w:rPr>
          <w:b/>
          <w:kern w:val="0"/>
          <w:szCs w:val="21"/>
        </w:rPr>
      </w:pPr>
    </w:p>
    <w:p w:rsidR="00000000" w:rsidRDefault="00521935">
      <w:pPr>
        <w:autoSpaceDE w:val="0"/>
        <w:autoSpaceDN w:val="0"/>
        <w:adjustRightInd w:val="0"/>
        <w:spacing w:line="276" w:lineRule="auto"/>
        <w:ind w:firstLineChars="200" w:firstLine="422"/>
        <w:jc w:val="left"/>
        <w:rPr>
          <w:b/>
          <w:kern w:val="0"/>
          <w:szCs w:val="21"/>
        </w:rPr>
      </w:pPr>
      <w:r>
        <w:rPr>
          <w:b/>
          <w:kern w:val="0"/>
          <w:szCs w:val="21"/>
        </w:rPr>
        <w:t>风险提示：</w:t>
      </w:r>
    </w:p>
    <w:p w:rsidR="00000000" w:rsidRDefault="00521935">
      <w:pPr>
        <w:autoSpaceDE w:val="0"/>
        <w:autoSpaceDN w:val="0"/>
        <w:adjustRightInd w:val="0"/>
        <w:spacing w:line="276" w:lineRule="auto"/>
        <w:ind w:firstLineChars="200" w:firstLine="420"/>
        <w:jc w:val="left"/>
        <w:rPr>
          <w:kern w:val="0"/>
          <w:szCs w:val="21"/>
        </w:rPr>
      </w:pPr>
      <w:r>
        <w:rPr>
          <w:szCs w:val="21"/>
        </w:rPr>
        <w:t>本基金管理人承诺以诚实信用、勤勉尽责的原则管理和运用基金财产，但不保证基金一定盈利，也不保证最低收益。基金的过往业绩及其净值高低并不预示其未来业绩表现，基金管理人管理的其他基金的业绩并不构成本</w:t>
      </w:r>
      <w:r>
        <w:rPr>
          <w:szCs w:val="21"/>
        </w:rPr>
        <w:t>基金业绩表现的保证。</w:t>
      </w:r>
      <w:r>
        <w:rPr>
          <w:rFonts w:hAnsi="宋体"/>
          <w:szCs w:val="21"/>
        </w:rPr>
        <w:t>本基金管理人提醒投资者基金投资的</w:t>
      </w:r>
      <w:r>
        <w:rPr>
          <w:rFonts w:hAnsi="宋体"/>
          <w:szCs w:val="21"/>
        </w:rPr>
        <w:t>“</w:t>
      </w:r>
      <w:r>
        <w:rPr>
          <w:rFonts w:hAnsi="宋体"/>
          <w:szCs w:val="21"/>
        </w:rPr>
        <w:t>买者自负</w:t>
      </w:r>
      <w:r>
        <w:rPr>
          <w:rFonts w:hAnsi="宋体"/>
          <w:szCs w:val="21"/>
        </w:rPr>
        <w:t>”</w:t>
      </w:r>
      <w:r>
        <w:rPr>
          <w:rFonts w:hAnsi="宋体"/>
          <w:szCs w:val="21"/>
        </w:rPr>
        <w:t>原则，在做出投资决策后，基金运营状况与基金净值变化引致的投资风险，由投资者自行负担。基金管理人、基金托管人、基金销售机构及相关机构不对基金投资收益做出任何承诺或保证。投资者投资于本公司管理的基金时应仔细阅读</w:t>
      </w:r>
      <w:r>
        <w:rPr>
          <w:rFonts w:hAnsi="宋体" w:hint="eastAsia"/>
          <w:szCs w:val="21"/>
        </w:rPr>
        <w:t>最新的</w:t>
      </w:r>
      <w:r>
        <w:rPr>
          <w:rFonts w:hAnsi="宋体"/>
          <w:szCs w:val="21"/>
        </w:rPr>
        <w:t>基金合同、招募说明书、基金产品资料概要等产品法律文件及相关公告，充分认识本基金的风险收益特征和产品特性，认真考虑基金存在的各项风险因素，并根据自身的投资目的、投资期限、投资经验、资产状况等因素充分考虑自身的风险承受能力，在了解产品情况及</w:t>
      </w:r>
      <w:r>
        <w:rPr>
          <w:rFonts w:hAnsi="宋体"/>
          <w:szCs w:val="21"/>
        </w:rPr>
        <w:t>销售适当性意见的基础上，理性判断并谨慎做出投资决策。</w:t>
      </w:r>
    </w:p>
    <w:p w:rsidR="00000000" w:rsidRDefault="00521935">
      <w:pPr>
        <w:spacing w:line="276" w:lineRule="auto"/>
        <w:ind w:firstLine="420"/>
        <w:jc w:val="left"/>
        <w:rPr>
          <w:color w:val="000000"/>
          <w:kern w:val="0"/>
          <w:szCs w:val="21"/>
        </w:rPr>
      </w:pPr>
    </w:p>
    <w:p w:rsidR="00000000" w:rsidRDefault="00521935">
      <w:pPr>
        <w:spacing w:line="276" w:lineRule="auto"/>
        <w:ind w:firstLine="420"/>
        <w:jc w:val="left"/>
        <w:rPr>
          <w:color w:val="000000"/>
          <w:kern w:val="0"/>
          <w:szCs w:val="21"/>
        </w:rPr>
      </w:pPr>
      <w:r>
        <w:rPr>
          <w:rFonts w:hAnsi="宋体"/>
          <w:color w:val="000000"/>
          <w:kern w:val="0"/>
          <w:szCs w:val="21"/>
        </w:rPr>
        <w:t>特此公告。</w:t>
      </w:r>
    </w:p>
    <w:p w:rsidR="00000000" w:rsidRDefault="00521935">
      <w:pPr>
        <w:spacing w:line="276" w:lineRule="auto"/>
        <w:ind w:firstLine="420"/>
        <w:jc w:val="left"/>
        <w:rPr>
          <w:color w:val="000000"/>
          <w:kern w:val="0"/>
          <w:szCs w:val="21"/>
        </w:rPr>
      </w:pPr>
    </w:p>
    <w:p w:rsidR="00000000" w:rsidRDefault="00521935">
      <w:pPr>
        <w:spacing w:line="276" w:lineRule="auto"/>
        <w:ind w:firstLine="420"/>
        <w:jc w:val="right"/>
        <w:rPr>
          <w:color w:val="000000"/>
          <w:kern w:val="0"/>
          <w:szCs w:val="21"/>
        </w:rPr>
      </w:pPr>
      <w:r>
        <w:rPr>
          <w:rFonts w:hAnsi="宋体"/>
          <w:color w:val="000000"/>
          <w:kern w:val="0"/>
          <w:szCs w:val="21"/>
        </w:rPr>
        <w:t>诺安基金管理有限公司</w:t>
      </w:r>
    </w:p>
    <w:p w:rsidR="00000000" w:rsidRDefault="00521935">
      <w:pPr>
        <w:wordWrap w:val="0"/>
        <w:spacing w:line="276" w:lineRule="auto"/>
        <w:ind w:firstLine="420"/>
        <w:jc w:val="right"/>
        <w:rPr>
          <w:color w:val="000000"/>
          <w:kern w:val="0"/>
          <w:szCs w:val="21"/>
        </w:rPr>
      </w:pPr>
      <w:r>
        <w:rPr>
          <w:rFonts w:hAnsi="宋体" w:hint="eastAsia"/>
          <w:color w:val="000000"/>
          <w:kern w:val="0"/>
          <w:szCs w:val="21"/>
        </w:rPr>
        <w:t>2</w:t>
      </w:r>
      <w:r>
        <w:rPr>
          <w:rFonts w:hAnsi="宋体"/>
          <w:color w:val="000000"/>
          <w:kern w:val="0"/>
          <w:szCs w:val="21"/>
        </w:rPr>
        <w:t>02</w:t>
      </w:r>
      <w:r>
        <w:rPr>
          <w:rFonts w:hAnsi="宋体" w:hint="eastAsia"/>
          <w:color w:val="000000"/>
          <w:kern w:val="0"/>
          <w:szCs w:val="21"/>
        </w:rPr>
        <w:t>5</w:t>
      </w:r>
      <w:r>
        <w:rPr>
          <w:rFonts w:hAnsi="宋体"/>
          <w:color w:val="000000"/>
          <w:kern w:val="0"/>
          <w:szCs w:val="21"/>
        </w:rPr>
        <w:t>年</w:t>
      </w:r>
      <w:r>
        <w:rPr>
          <w:rFonts w:hAnsi="宋体" w:hint="eastAsia"/>
          <w:color w:val="000000"/>
          <w:kern w:val="0"/>
          <w:szCs w:val="21"/>
        </w:rPr>
        <w:t>12</w:t>
      </w:r>
      <w:r>
        <w:rPr>
          <w:rFonts w:hAnsi="宋体"/>
          <w:color w:val="000000"/>
          <w:kern w:val="0"/>
          <w:szCs w:val="21"/>
        </w:rPr>
        <w:t>月</w:t>
      </w:r>
      <w:r>
        <w:rPr>
          <w:rFonts w:hAnsi="宋体" w:hint="eastAsia"/>
          <w:color w:val="000000"/>
          <w:kern w:val="0"/>
          <w:szCs w:val="21"/>
        </w:rPr>
        <w:t>18</w:t>
      </w:r>
      <w:r>
        <w:rPr>
          <w:rFonts w:hAnsi="宋体"/>
          <w:color w:val="000000"/>
          <w:kern w:val="0"/>
          <w:szCs w:val="21"/>
        </w:rPr>
        <w:t>日</w:t>
      </w:r>
      <w:r>
        <w:rPr>
          <w:rFonts w:hAnsi="宋体" w:hint="eastAsia"/>
          <w:color w:val="000000"/>
          <w:kern w:val="0"/>
          <w:szCs w:val="21"/>
        </w:rPr>
        <w:t xml:space="preserve">  </w:t>
      </w:r>
    </w:p>
    <w:p w:rsidR="00000000" w:rsidRDefault="00521935">
      <w:pPr>
        <w:spacing w:line="276" w:lineRule="auto"/>
        <w:jc w:val="left"/>
        <w:rPr>
          <w:b/>
        </w:rPr>
      </w:pPr>
    </w:p>
    <w:sectPr w:rsidR="00000000">
      <w:headerReference w:type="default" r:id="rId6"/>
      <w:pgSz w:w="11906" w:h="16838"/>
      <w:pgMar w:top="1440" w:right="1800" w:bottom="1440" w:left="1800" w:header="737"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521935">
      <w:r>
        <w:separator/>
      </w:r>
    </w:p>
  </w:endnote>
  <w:endnote w:type="continuationSeparator" w:id="0">
    <w:p w:rsidR="00000000" w:rsidRDefault="005219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仿宋简体">
    <w:charset w:val="86"/>
    <w:family w:val="auto"/>
    <w:pitch w:val="default"/>
    <w:sig w:usb0="A00002BF" w:usb1="184F6CFA" w:usb2="00000012"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521935">
      <w:r>
        <w:separator/>
      </w:r>
    </w:p>
  </w:footnote>
  <w:footnote w:type="continuationSeparator" w:id="0">
    <w:p w:rsidR="00000000" w:rsidRDefault="005219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21935">
    <w:pPr>
      <w:pStyle w:val="a5"/>
      <w:jc w:val="both"/>
      <w:rPr>
        <w:rFonts w:hint="eastAsia"/>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120pt;height:15pt;mso-wrap-style:square;mso-position-horizontal-relative:page;mso-position-vertical-relative:page">
          <v:imagedata r:id="rId1" o:title="10"/>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attachedTemplate r:id="rId1"/>
  <w:doNotTrackMoves/>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ODE0OGMzOGUyZTA1OTBmNWYyMjM3MzE3YjUxYzg1NjEifQ=="/>
  </w:docVars>
  <w:rsids>
    <w:rsidRoot w:val="004B6E1D"/>
    <w:rsid w:val="0000122A"/>
    <w:rsid w:val="000034C1"/>
    <w:rsid w:val="0000395B"/>
    <w:rsid w:val="0001150A"/>
    <w:rsid w:val="000119B2"/>
    <w:rsid w:val="000122DB"/>
    <w:rsid w:val="00016ABF"/>
    <w:rsid w:val="00025185"/>
    <w:rsid w:val="00025EC0"/>
    <w:rsid w:val="000307B4"/>
    <w:rsid w:val="0003254F"/>
    <w:rsid w:val="00042FB9"/>
    <w:rsid w:val="0005629F"/>
    <w:rsid w:val="00065C2B"/>
    <w:rsid w:val="0006734F"/>
    <w:rsid w:val="0007448A"/>
    <w:rsid w:val="000A3304"/>
    <w:rsid w:val="000A4D6B"/>
    <w:rsid w:val="000B5ED8"/>
    <w:rsid w:val="000B6FC4"/>
    <w:rsid w:val="000C4AA7"/>
    <w:rsid w:val="000D0276"/>
    <w:rsid w:val="000D7F11"/>
    <w:rsid w:val="000E6A4A"/>
    <w:rsid w:val="00113A19"/>
    <w:rsid w:val="00116249"/>
    <w:rsid w:val="00117349"/>
    <w:rsid w:val="00121FF2"/>
    <w:rsid w:val="00140200"/>
    <w:rsid w:val="00145EA7"/>
    <w:rsid w:val="00146BFA"/>
    <w:rsid w:val="00167E86"/>
    <w:rsid w:val="00184B18"/>
    <w:rsid w:val="00186126"/>
    <w:rsid w:val="00194F55"/>
    <w:rsid w:val="001A1256"/>
    <w:rsid w:val="001A46CC"/>
    <w:rsid w:val="001A7C7D"/>
    <w:rsid w:val="001B36F9"/>
    <w:rsid w:val="001B3B38"/>
    <w:rsid w:val="002028DD"/>
    <w:rsid w:val="00215F0D"/>
    <w:rsid w:val="00222829"/>
    <w:rsid w:val="0022686A"/>
    <w:rsid w:val="002340B9"/>
    <w:rsid w:val="00237618"/>
    <w:rsid w:val="00241913"/>
    <w:rsid w:val="0025050D"/>
    <w:rsid w:val="00250E4E"/>
    <w:rsid w:val="0025231A"/>
    <w:rsid w:val="0025399C"/>
    <w:rsid w:val="002569C3"/>
    <w:rsid w:val="00260202"/>
    <w:rsid w:val="00261EAA"/>
    <w:rsid w:val="00274626"/>
    <w:rsid w:val="0027588B"/>
    <w:rsid w:val="00281493"/>
    <w:rsid w:val="00281C7B"/>
    <w:rsid w:val="002908B7"/>
    <w:rsid w:val="002A426C"/>
    <w:rsid w:val="002A6454"/>
    <w:rsid w:val="002D6046"/>
    <w:rsid w:val="002E0C56"/>
    <w:rsid w:val="0030502E"/>
    <w:rsid w:val="00306141"/>
    <w:rsid w:val="003104E1"/>
    <w:rsid w:val="003166AD"/>
    <w:rsid w:val="00332411"/>
    <w:rsid w:val="00340509"/>
    <w:rsid w:val="003425F3"/>
    <w:rsid w:val="00343417"/>
    <w:rsid w:val="0035539F"/>
    <w:rsid w:val="00360FB4"/>
    <w:rsid w:val="00364CE8"/>
    <w:rsid w:val="00373475"/>
    <w:rsid w:val="00385A22"/>
    <w:rsid w:val="00394987"/>
    <w:rsid w:val="003A37DE"/>
    <w:rsid w:val="003B454C"/>
    <w:rsid w:val="003C3E22"/>
    <w:rsid w:val="003D7848"/>
    <w:rsid w:val="003F6C79"/>
    <w:rsid w:val="00404D73"/>
    <w:rsid w:val="00406673"/>
    <w:rsid w:val="004172DC"/>
    <w:rsid w:val="00431CC8"/>
    <w:rsid w:val="00434E47"/>
    <w:rsid w:val="00435485"/>
    <w:rsid w:val="00435F17"/>
    <w:rsid w:val="0043768F"/>
    <w:rsid w:val="00450532"/>
    <w:rsid w:val="00450CBD"/>
    <w:rsid w:val="004629A8"/>
    <w:rsid w:val="00476ED3"/>
    <w:rsid w:val="004B6E1D"/>
    <w:rsid w:val="004D6D1F"/>
    <w:rsid w:val="004D74A7"/>
    <w:rsid w:val="004E6223"/>
    <w:rsid w:val="005111DF"/>
    <w:rsid w:val="00517FEC"/>
    <w:rsid w:val="00521935"/>
    <w:rsid w:val="00530969"/>
    <w:rsid w:val="0053297B"/>
    <w:rsid w:val="00537569"/>
    <w:rsid w:val="00545AF5"/>
    <w:rsid w:val="00560439"/>
    <w:rsid w:val="00562F6A"/>
    <w:rsid w:val="00565F41"/>
    <w:rsid w:val="005879F9"/>
    <w:rsid w:val="00595103"/>
    <w:rsid w:val="005A4F8C"/>
    <w:rsid w:val="005C712C"/>
    <w:rsid w:val="005C75D5"/>
    <w:rsid w:val="005E16EB"/>
    <w:rsid w:val="006011B9"/>
    <w:rsid w:val="0060207B"/>
    <w:rsid w:val="00604A5E"/>
    <w:rsid w:val="00611A71"/>
    <w:rsid w:val="0063174E"/>
    <w:rsid w:val="00642860"/>
    <w:rsid w:val="0066290E"/>
    <w:rsid w:val="00664DB3"/>
    <w:rsid w:val="00670BB5"/>
    <w:rsid w:val="0067254B"/>
    <w:rsid w:val="00696D02"/>
    <w:rsid w:val="006972F4"/>
    <w:rsid w:val="006A09F2"/>
    <w:rsid w:val="006A37E0"/>
    <w:rsid w:val="006A4026"/>
    <w:rsid w:val="006A7B8D"/>
    <w:rsid w:val="006B0A11"/>
    <w:rsid w:val="006C15FF"/>
    <w:rsid w:val="006C37DE"/>
    <w:rsid w:val="006D28E3"/>
    <w:rsid w:val="006D497B"/>
    <w:rsid w:val="006E12BA"/>
    <w:rsid w:val="006E1727"/>
    <w:rsid w:val="006F252A"/>
    <w:rsid w:val="006F3603"/>
    <w:rsid w:val="006F52ED"/>
    <w:rsid w:val="006F5443"/>
    <w:rsid w:val="00710296"/>
    <w:rsid w:val="00721176"/>
    <w:rsid w:val="00724A11"/>
    <w:rsid w:val="007317CA"/>
    <w:rsid w:val="007378B6"/>
    <w:rsid w:val="007605E2"/>
    <w:rsid w:val="007620B4"/>
    <w:rsid w:val="00766869"/>
    <w:rsid w:val="0076711E"/>
    <w:rsid w:val="00767608"/>
    <w:rsid w:val="00777768"/>
    <w:rsid w:val="00782587"/>
    <w:rsid w:val="00786989"/>
    <w:rsid w:val="007B003E"/>
    <w:rsid w:val="007B3753"/>
    <w:rsid w:val="007F1023"/>
    <w:rsid w:val="0080713F"/>
    <w:rsid w:val="008153C0"/>
    <w:rsid w:val="0083417B"/>
    <w:rsid w:val="00846F7F"/>
    <w:rsid w:val="00850370"/>
    <w:rsid w:val="008636B2"/>
    <w:rsid w:val="00863AE2"/>
    <w:rsid w:val="00866EF6"/>
    <w:rsid w:val="00883B91"/>
    <w:rsid w:val="0089476C"/>
    <w:rsid w:val="00896910"/>
    <w:rsid w:val="008A3C30"/>
    <w:rsid w:val="008B1980"/>
    <w:rsid w:val="008E085E"/>
    <w:rsid w:val="008E11EC"/>
    <w:rsid w:val="008E50A1"/>
    <w:rsid w:val="008F3559"/>
    <w:rsid w:val="008F547B"/>
    <w:rsid w:val="00916A46"/>
    <w:rsid w:val="00917596"/>
    <w:rsid w:val="00923188"/>
    <w:rsid w:val="0093353D"/>
    <w:rsid w:val="00941953"/>
    <w:rsid w:val="00955FF5"/>
    <w:rsid w:val="00956922"/>
    <w:rsid w:val="00957FFE"/>
    <w:rsid w:val="00970F03"/>
    <w:rsid w:val="00972732"/>
    <w:rsid w:val="00974914"/>
    <w:rsid w:val="00977BD6"/>
    <w:rsid w:val="00981DB4"/>
    <w:rsid w:val="009A0F34"/>
    <w:rsid w:val="009A661C"/>
    <w:rsid w:val="009B0D36"/>
    <w:rsid w:val="009C051A"/>
    <w:rsid w:val="009D0D9F"/>
    <w:rsid w:val="009D108E"/>
    <w:rsid w:val="009E626B"/>
    <w:rsid w:val="00A2058B"/>
    <w:rsid w:val="00A2448A"/>
    <w:rsid w:val="00A33556"/>
    <w:rsid w:val="00A35A63"/>
    <w:rsid w:val="00A554F9"/>
    <w:rsid w:val="00A55A75"/>
    <w:rsid w:val="00A56A40"/>
    <w:rsid w:val="00A61830"/>
    <w:rsid w:val="00AA0F52"/>
    <w:rsid w:val="00AA5A3F"/>
    <w:rsid w:val="00AC1634"/>
    <w:rsid w:val="00AC1F42"/>
    <w:rsid w:val="00AD3AD3"/>
    <w:rsid w:val="00AE0413"/>
    <w:rsid w:val="00AF3012"/>
    <w:rsid w:val="00B0641C"/>
    <w:rsid w:val="00B069CA"/>
    <w:rsid w:val="00B10333"/>
    <w:rsid w:val="00B24D03"/>
    <w:rsid w:val="00B35374"/>
    <w:rsid w:val="00B56460"/>
    <w:rsid w:val="00B56DAC"/>
    <w:rsid w:val="00B62323"/>
    <w:rsid w:val="00B65113"/>
    <w:rsid w:val="00B80ED7"/>
    <w:rsid w:val="00B97592"/>
    <w:rsid w:val="00BA3479"/>
    <w:rsid w:val="00BB093D"/>
    <w:rsid w:val="00BB642A"/>
    <w:rsid w:val="00BD2526"/>
    <w:rsid w:val="00BD5993"/>
    <w:rsid w:val="00C117E4"/>
    <w:rsid w:val="00C22BCC"/>
    <w:rsid w:val="00C3236B"/>
    <w:rsid w:val="00C4688A"/>
    <w:rsid w:val="00C727FE"/>
    <w:rsid w:val="00C81EE6"/>
    <w:rsid w:val="00C91F09"/>
    <w:rsid w:val="00C93EE5"/>
    <w:rsid w:val="00CB1DC5"/>
    <w:rsid w:val="00CC0A43"/>
    <w:rsid w:val="00CD3745"/>
    <w:rsid w:val="00CD5AC0"/>
    <w:rsid w:val="00CE0A17"/>
    <w:rsid w:val="00CE1BE9"/>
    <w:rsid w:val="00CF722F"/>
    <w:rsid w:val="00D06722"/>
    <w:rsid w:val="00D36250"/>
    <w:rsid w:val="00D40FC0"/>
    <w:rsid w:val="00D4445F"/>
    <w:rsid w:val="00D45B10"/>
    <w:rsid w:val="00D55B89"/>
    <w:rsid w:val="00D56D40"/>
    <w:rsid w:val="00D603CC"/>
    <w:rsid w:val="00D609D9"/>
    <w:rsid w:val="00D72094"/>
    <w:rsid w:val="00D82A8F"/>
    <w:rsid w:val="00D841B7"/>
    <w:rsid w:val="00D96C41"/>
    <w:rsid w:val="00DA5700"/>
    <w:rsid w:val="00DC0EF5"/>
    <w:rsid w:val="00DC186F"/>
    <w:rsid w:val="00DD7534"/>
    <w:rsid w:val="00DE1FBC"/>
    <w:rsid w:val="00DE67D4"/>
    <w:rsid w:val="00DE6FDE"/>
    <w:rsid w:val="00DF1293"/>
    <w:rsid w:val="00DF5E2D"/>
    <w:rsid w:val="00E02B0E"/>
    <w:rsid w:val="00E115EB"/>
    <w:rsid w:val="00E1254A"/>
    <w:rsid w:val="00E14D6E"/>
    <w:rsid w:val="00E15A86"/>
    <w:rsid w:val="00E20ECA"/>
    <w:rsid w:val="00E457D0"/>
    <w:rsid w:val="00E62033"/>
    <w:rsid w:val="00E63B1B"/>
    <w:rsid w:val="00E77F1C"/>
    <w:rsid w:val="00E83131"/>
    <w:rsid w:val="00EA03E8"/>
    <w:rsid w:val="00EA28B1"/>
    <w:rsid w:val="00EA4B11"/>
    <w:rsid w:val="00EC53AD"/>
    <w:rsid w:val="00EC60B1"/>
    <w:rsid w:val="00ED3F8D"/>
    <w:rsid w:val="00F226A3"/>
    <w:rsid w:val="00F30BDA"/>
    <w:rsid w:val="00F64602"/>
    <w:rsid w:val="00F71057"/>
    <w:rsid w:val="00F71C66"/>
    <w:rsid w:val="00F81401"/>
    <w:rsid w:val="00F8714B"/>
    <w:rsid w:val="01253372"/>
    <w:rsid w:val="09FE65F6"/>
    <w:rsid w:val="25EC38D0"/>
    <w:rsid w:val="2CD77367"/>
    <w:rsid w:val="35CC1F9E"/>
    <w:rsid w:val="3D5106F4"/>
    <w:rsid w:val="3FAD7EF4"/>
    <w:rsid w:val="46433600"/>
    <w:rsid w:val="598F04FE"/>
    <w:rsid w:val="5C5D5C7A"/>
    <w:rsid w:val="5D4317E7"/>
    <w:rsid w:val="628A279D"/>
    <w:rsid w:val="785A4EC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lsdException w:name="header" w:semiHidden="0"/>
    <w:lsdException w:name="footer" w:semiHidden="0"/>
    <w:lsdException w:name="caption" w:uiPriority="35" w:qFormat="1"/>
    <w:lsdException w:name="footnote reference" w:semiHidden="0" w:uiPriority="0"/>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kern w:val="0"/>
      <w:sz w:val="18"/>
      <w:szCs w:val="18"/>
    </w:rPr>
  </w:style>
  <w:style w:type="character" w:customStyle="1" w:styleId="Char">
    <w:name w:val="批注框文本 Char"/>
    <w:link w:val="a3"/>
    <w:uiPriority w:val="99"/>
    <w:semiHidden/>
    <w:rPr>
      <w:sz w:val="18"/>
      <w:szCs w:val="18"/>
    </w:rPr>
  </w:style>
  <w:style w:type="paragraph" w:styleId="a4">
    <w:name w:val="footer"/>
    <w:basedOn w:val="a"/>
    <w:link w:val="Char0"/>
    <w:uiPriority w:val="99"/>
    <w:unhideWhenUsed/>
    <w:pPr>
      <w:tabs>
        <w:tab w:val="center" w:pos="4153"/>
        <w:tab w:val="right" w:pos="8306"/>
      </w:tabs>
      <w:snapToGrid w:val="0"/>
      <w:jc w:val="left"/>
    </w:pPr>
    <w:rPr>
      <w:kern w:val="0"/>
      <w:sz w:val="18"/>
      <w:szCs w:val="18"/>
    </w:rPr>
  </w:style>
  <w:style w:type="character" w:customStyle="1" w:styleId="Char0">
    <w:name w:val="页脚 Char"/>
    <w:link w:val="a4"/>
    <w:uiPriority w:val="99"/>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kern w:val="0"/>
      <w:sz w:val="18"/>
      <w:szCs w:val="18"/>
    </w:rPr>
  </w:style>
  <w:style w:type="character" w:customStyle="1" w:styleId="Char1">
    <w:name w:val="页眉 Char"/>
    <w:link w:val="a5"/>
    <w:uiPriority w:val="99"/>
    <w:rPr>
      <w:sz w:val="18"/>
      <w:szCs w:val="18"/>
    </w:rPr>
  </w:style>
  <w:style w:type="paragraph" w:styleId="a6">
    <w:name w:val="footnote text"/>
    <w:basedOn w:val="a"/>
    <w:link w:val="Char2"/>
    <w:unhideWhenUsed/>
    <w:pPr>
      <w:snapToGrid w:val="0"/>
      <w:jc w:val="left"/>
    </w:pPr>
    <w:rPr>
      <w:kern w:val="0"/>
      <w:sz w:val="18"/>
      <w:szCs w:val="20"/>
    </w:rPr>
  </w:style>
  <w:style w:type="character" w:customStyle="1" w:styleId="Char2">
    <w:name w:val="脚注文本 Char"/>
    <w:link w:val="a6"/>
    <w:semiHidden/>
    <w:rPr>
      <w:rFonts w:ascii="Times New Roman" w:eastAsia="宋体" w:hAnsi="Times New Roman" w:cs="Times New Roman"/>
      <w:sz w:val="18"/>
      <w:szCs w:val="20"/>
    </w:rPr>
  </w:style>
  <w:style w:type="table" w:styleId="a7">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footnote reference"/>
    <w:unhideWhenUsed/>
    <w:rPr>
      <w:vertAlign w:val="superscript"/>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L:\&#20851;&#20110;&#35834;&#23433;&#36135;&#24065;&#24066;&#22330;&#22522;&#37329;&#26149;&#33410;&#20551;&#26399;&#21069;&#20004;&#20010;&#24037;&#20316;&#26085;&#26242;&#20572;&#30003;&#36141;&#21450;&#36716;&#25442;&#36716;&#20837;&#19994;&#21153;&#30340;&#20844;&#21578;.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关于诺安货币市场基金春节假期前两个工作日暂停申购及转换转入业务的公告.dot</Template>
  <TotalTime>0</TotalTime>
  <Pages>2</Pages>
  <Words>200</Words>
  <Characters>1141</Characters>
  <Application>Microsoft Office Word</Application>
  <DocSecurity>4</DocSecurity>
  <Lines>9</Lines>
  <Paragraphs>2</Paragraphs>
  <ScaleCrop>false</ScaleCrop>
  <Company> </Company>
  <LinksUpToDate>false</LinksUpToDate>
  <CharactersWithSpaces>1339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关于诺安货币市场基金春节假期前两个工作日暂停申购及转换转入业务的公告</dc:title>
  <dc:subject/>
  <dc:creator>sujp</dc:creator>
  <cp:keywords/>
  <cp:lastModifiedBy>ZHONGM</cp:lastModifiedBy>
  <cp:revision>2</cp:revision>
  <cp:lastPrinted>2011-03-28T06:55:00Z</cp:lastPrinted>
  <dcterms:created xsi:type="dcterms:W3CDTF">2025-12-17T16:01:00Z</dcterms:created>
  <dcterms:modified xsi:type="dcterms:W3CDTF">2025-12-17T16:01:00Z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undType">
    <vt:lpwstr>ZT</vt:lpwstr>
  </property>
  <property fmtid="{D5CDD505-2E9C-101B-9397-08002B2CF9AE}" pid="3" name="ReportType">
    <vt:lpwstr>FC190100</vt:lpwstr>
  </property>
  <property fmtid="{D5CDD505-2E9C-101B-9397-08002B2CF9AE}" pid="4" name="XmlPath">
    <vt:lpwstr>C:\Documents and Settings\HP\桌面\xlz\临时公告word\0110\基金暂停（大额）申购（转换转入、赎回、转换转出、定期定额投资）公告模板配置文件.xml</vt:lpwstr>
  </property>
  <property fmtid="{D5CDD505-2E9C-101B-9397-08002B2CF9AE}" pid="5" name="KSOProductBuildVer">
    <vt:lpwstr>2052-12.1.0.24034</vt:lpwstr>
  </property>
  <property fmtid="{D5CDD505-2E9C-101B-9397-08002B2CF9AE}" pid="6" name="ICV">
    <vt:lpwstr>E374AA639C8C4D9EB6CFC323659F06D4_12</vt:lpwstr>
  </property>
  <property fmtid="{D5CDD505-2E9C-101B-9397-08002B2CF9AE}" pid="7" name="KSOTemplateDocerSaveRecord">
    <vt:lpwstr>eyJoZGlkIjoiODE0OGMzOGUyZTA1OTBmNWYyMjM3MzE3YjUxYzg1NjEiLCJ1c2VySWQiOiI4MTY5MzAzNDcifQ==</vt:lpwstr>
  </property>
</Properties>
</file>